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4" w:rsidRDefault="00446694" w:rsidP="002F7F1B">
      <w:pPr>
        <w:jc w:val="center"/>
      </w:pPr>
      <w:bookmarkStart w:id="0" w:name="_GoBack"/>
      <w:bookmarkEnd w:id="0"/>
    </w:p>
    <w:p w:rsidR="00446694" w:rsidRDefault="00446694" w:rsidP="002F7F1B">
      <w:pPr>
        <w:jc w:val="center"/>
      </w:pPr>
    </w:p>
    <w:p w:rsidR="00FE0ADD" w:rsidRDefault="00446694" w:rsidP="002F7F1B">
      <w:pPr>
        <w:jc w:val="center"/>
      </w:pPr>
      <w:r w:rsidRPr="00CE30CF">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-276225</wp:posOffset>
            </wp:positionV>
            <wp:extent cx="1485900" cy="857250"/>
            <wp:effectExtent l="19050" t="0" r="0" b="0"/>
            <wp:wrapSquare wrapText="bothSides"/>
            <wp:docPr id="1" name="Image 2" descr="ARS_LOGO_BFC_150dpi.jpg"/>
            <wp:cNvGraphicFramePr/>
            <a:graphic xmlns:a="http://schemas.openxmlformats.org/drawingml/2006/main">
              <a:graphicData uri="http://schemas.openxmlformats.org/drawingml/2006/picture">
                <pic:pic xmlns:pic="http://schemas.openxmlformats.org/drawingml/2006/picture">
                  <pic:nvPicPr>
                    <pic:cNvPr id="0" name="Image 0" descr="ARS_LOGO_BFC_150dpi.jpg"/>
                    <pic:cNvPicPr>
                      <a:picLocks noChangeAspect="1" noChangeArrowheads="1"/>
                    </pic:cNvPicPr>
                  </pic:nvPicPr>
                  <pic:blipFill>
                    <a:blip r:embed="rId9" cstate="print"/>
                    <a:srcRect/>
                    <a:stretch>
                      <a:fillRect/>
                    </a:stretch>
                  </pic:blipFill>
                  <pic:spPr bwMode="auto">
                    <a:xfrm>
                      <a:off x="0" y="0"/>
                      <a:ext cx="1485900" cy="857250"/>
                    </a:xfrm>
                    <a:prstGeom prst="rect">
                      <a:avLst/>
                    </a:prstGeom>
                    <a:noFill/>
                    <a:ln w="9525">
                      <a:noFill/>
                      <a:miter lim="800000"/>
                      <a:headEnd/>
                      <a:tailEnd/>
                    </a:ln>
                  </pic:spPr>
                </pic:pic>
              </a:graphicData>
            </a:graphic>
          </wp:anchor>
        </w:drawing>
      </w:r>
    </w:p>
    <w:p w:rsidR="007109BB" w:rsidRDefault="007109BB" w:rsidP="007109BB"/>
    <w:tbl>
      <w:tblPr>
        <w:tblStyle w:val="Grilledutableau"/>
        <w:tblW w:w="10740" w:type="dxa"/>
        <w:shd w:val="clear" w:color="auto" w:fill="D9D9D9" w:themeFill="background1" w:themeFillShade="D9"/>
        <w:tblLook w:val="04A0" w:firstRow="1" w:lastRow="0" w:firstColumn="1" w:lastColumn="0" w:noHBand="0" w:noVBand="1"/>
      </w:tblPr>
      <w:tblGrid>
        <w:gridCol w:w="3936"/>
        <w:gridCol w:w="6804"/>
      </w:tblGrid>
      <w:tr w:rsidR="004B66A6" w:rsidTr="00C213EB">
        <w:tc>
          <w:tcPr>
            <w:tcW w:w="10740"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E29E3" w:rsidRDefault="004E29E3" w:rsidP="00DB0475">
            <w:pPr>
              <w:pStyle w:val="En-tte"/>
              <w:rPr>
                <w:b/>
                <w:bCs/>
              </w:rPr>
            </w:pPr>
          </w:p>
          <w:p w:rsidR="004B66A6" w:rsidRPr="00DB0475" w:rsidRDefault="002F177E" w:rsidP="00DB0475">
            <w:pPr>
              <w:pStyle w:val="En-tte"/>
              <w:rPr>
                <w:b/>
                <w:bCs/>
              </w:rPr>
            </w:pPr>
            <w:r>
              <w:rPr>
                <w:b/>
                <w:bCs/>
              </w:rPr>
              <w:t>Médecin</w:t>
            </w:r>
            <w:r w:rsidR="00990660">
              <w:rPr>
                <w:b/>
                <w:bCs/>
              </w:rPr>
              <w:t xml:space="preserve"> Coordonnateur Régional de l’Hémovigilance et de la Sécurité Transfusionnelle </w:t>
            </w:r>
          </w:p>
          <w:p w:rsidR="00E150C4" w:rsidRPr="004B66A6" w:rsidRDefault="00E150C4" w:rsidP="00E150C4">
            <w:pPr>
              <w:pStyle w:val="En-tte"/>
              <w:rPr>
                <w:color w:val="00B050"/>
              </w:rPr>
            </w:pPr>
          </w:p>
        </w:tc>
      </w:tr>
      <w:tr w:rsidR="004B66A6" w:rsidTr="00C213EB">
        <w:tblPrEx>
          <w:shd w:val="clear" w:color="auto" w:fill="auto"/>
        </w:tblPrEx>
        <w:tc>
          <w:tcPr>
            <w:tcW w:w="10740" w:type="dxa"/>
            <w:gridSpan w:val="2"/>
            <w:tcBorders>
              <w:top w:val="single" w:sz="2" w:space="0" w:color="auto"/>
              <w:left w:val="nil"/>
              <w:bottom w:val="single" w:sz="2" w:space="0" w:color="auto"/>
              <w:right w:val="nil"/>
            </w:tcBorders>
          </w:tcPr>
          <w:p w:rsidR="00C213EB" w:rsidRDefault="00C213EB" w:rsidP="00DB0475">
            <w:pPr>
              <w:jc w:val="center"/>
            </w:pPr>
          </w:p>
        </w:tc>
      </w:tr>
      <w:tr w:rsidR="006B4E97" w:rsidTr="00C213EB">
        <w:tblPrEx>
          <w:shd w:val="clear" w:color="auto" w:fill="auto"/>
        </w:tblPrEx>
        <w:tc>
          <w:tcPr>
            <w:tcW w:w="3936" w:type="dxa"/>
            <w:tcBorders>
              <w:top w:val="single" w:sz="2" w:space="0" w:color="auto"/>
              <w:left w:val="single" w:sz="2" w:space="0" w:color="auto"/>
              <w:bottom w:val="single" w:sz="2" w:space="0" w:color="auto"/>
              <w:right w:val="single" w:sz="2" w:space="0" w:color="auto"/>
            </w:tcBorders>
          </w:tcPr>
          <w:p w:rsidR="006B4E97" w:rsidRPr="00842FCC" w:rsidRDefault="006B4E97" w:rsidP="00842FCC">
            <w:pPr>
              <w:jc w:val="left"/>
              <w:rPr>
                <w:rFonts w:ascii="Times New Roman" w:hAnsi="Times New Roman" w:cs="Times New Roman"/>
                <w:b/>
              </w:rPr>
            </w:pPr>
            <w:r w:rsidRPr="00842FCC">
              <w:rPr>
                <w:rFonts w:ascii="Times New Roman" w:hAnsi="Times New Roman" w:cs="Times New Roman"/>
                <w:b/>
              </w:rPr>
              <w:t>Famille professionnelle</w:t>
            </w:r>
          </w:p>
        </w:tc>
        <w:tc>
          <w:tcPr>
            <w:tcW w:w="6804" w:type="dxa"/>
            <w:tcBorders>
              <w:top w:val="single" w:sz="2" w:space="0" w:color="auto"/>
              <w:left w:val="single" w:sz="2" w:space="0" w:color="auto"/>
              <w:bottom w:val="single" w:sz="2" w:space="0" w:color="auto"/>
              <w:right w:val="single" w:sz="2" w:space="0" w:color="auto"/>
            </w:tcBorders>
          </w:tcPr>
          <w:p w:rsidR="006B4E97" w:rsidRPr="00454F72" w:rsidRDefault="0070320D" w:rsidP="005C52D2">
            <w:pPr>
              <w:jc w:val="left"/>
              <w:rPr>
                <w:rFonts w:ascii="Times New Roman" w:hAnsi="Times New Roman" w:cs="Times New Roman"/>
              </w:rPr>
            </w:pPr>
            <w:r w:rsidRPr="00454F72">
              <w:rPr>
                <w:rFonts w:ascii="Times New Roman" w:hAnsi="Times New Roman" w:cs="Times New Roman"/>
              </w:rPr>
              <w:t>SANTE</w:t>
            </w:r>
          </w:p>
        </w:tc>
      </w:tr>
      <w:tr w:rsidR="006B4E97" w:rsidTr="00C213EB">
        <w:tblPrEx>
          <w:shd w:val="clear" w:color="auto" w:fill="auto"/>
        </w:tblPrEx>
        <w:tc>
          <w:tcPr>
            <w:tcW w:w="3936" w:type="dxa"/>
            <w:tcBorders>
              <w:top w:val="single" w:sz="2" w:space="0" w:color="auto"/>
              <w:left w:val="single" w:sz="2" w:space="0" w:color="auto"/>
              <w:bottom w:val="single" w:sz="2" w:space="0" w:color="auto"/>
              <w:right w:val="single" w:sz="2" w:space="0" w:color="auto"/>
            </w:tcBorders>
          </w:tcPr>
          <w:p w:rsidR="006B4E97" w:rsidRPr="00842FCC" w:rsidRDefault="006B4E97" w:rsidP="00842FCC">
            <w:pPr>
              <w:jc w:val="left"/>
              <w:rPr>
                <w:rFonts w:ascii="Times New Roman" w:hAnsi="Times New Roman" w:cs="Times New Roman"/>
                <w:b/>
              </w:rPr>
            </w:pPr>
            <w:r w:rsidRPr="00842FCC">
              <w:rPr>
                <w:rFonts w:ascii="Times New Roman" w:hAnsi="Times New Roman" w:cs="Times New Roman"/>
                <w:b/>
              </w:rPr>
              <w:t>Emploi-type principal</w:t>
            </w:r>
            <w:r w:rsidR="00423EDC" w:rsidRPr="00842FCC">
              <w:rPr>
                <w:rFonts w:ascii="Times New Roman" w:hAnsi="Times New Roman" w:cs="Times New Roman"/>
                <w:b/>
              </w:rPr>
              <w:t xml:space="preserve"> </w:t>
            </w:r>
            <w:r w:rsidR="004B66A6" w:rsidRPr="00842FCC">
              <w:rPr>
                <w:rFonts w:ascii="Times New Roman" w:hAnsi="Times New Roman" w:cs="Times New Roman"/>
                <w:b/>
              </w:rPr>
              <w:t>/</w:t>
            </w:r>
            <w:r w:rsidR="00423EDC" w:rsidRPr="00842FCC">
              <w:rPr>
                <w:rFonts w:ascii="Times New Roman" w:hAnsi="Times New Roman" w:cs="Times New Roman"/>
                <w:b/>
              </w:rPr>
              <w:t xml:space="preserve"> </w:t>
            </w:r>
            <w:r w:rsidR="004B66A6" w:rsidRPr="00842FCC">
              <w:rPr>
                <w:rFonts w:ascii="Times New Roman" w:hAnsi="Times New Roman" w:cs="Times New Roman"/>
                <w:b/>
              </w:rPr>
              <w:t>code fiche</w:t>
            </w:r>
          </w:p>
        </w:tc>
        <w:tc>
          <w:tcPr>
            <w:tcW w:w="6804" w:type="dxa"/>
            <w:tcBorders>
              <w:top w:val="single" w:sz="2" w:space="0" w:color="auto"/>
              <w:left w:val="single" w:sz="2" w:space="0" w:color="auto"/>
              <w:bottom w:val="single" w:sz="2" w:space="0" w:color="auto"/>
              <w:right w:val="single" w:sz="2" w:space="0" w:color="auto"/>
            </w:tcBorders>
          </w:tcPr>
          <w:p w:rsidR="006B4E97" w:rsidRPr="00990660" w:rsidRDefault="00F73A7A" w:rsidP="005C52D2">
            <w:pPr>
              <w:jc w:val="left"/>
              <w:rPr>
                <w:rFonts w:ascii="Times New Roman" w:hAnsi="Times New Roman" w:cs="Times New Roman"/>
                <w:b/>
                <w:bCs/>
              </w:rPr>
            </w:pPr>
            <w:r w:rsidRPr="00454F72">
              <w:rPr>
                <w:rFonts w:ascii="Times New Roman" w:hAnsi="Times New Roman" w:cs="Times New Roman"/>
                <w:b/>
                <w:bCs/>
              </w:rPr>
              <w:t>C</w:t>
            </w:r>
            <w:r w:rsidR="005A3664" w:rsidRPr="00454F72">
              <w:rPr>
                <w:rFonts w:ascii="Times New Roman" w:hAnsi="Times New Roman" w:cs="Times New Roman"/>
                <w:b/>
                <w:bCs/>
              </w:rPr>
              <w:t xml:space="preserve">onseiller </w:t>
            </w:r>
            <w:r w:rsidR="006120ED" w:rsidRPr="00454F72">
              <w:rPr>
                <w:rFonts w:ascii="Times New Roman" w:hAnsi="Times New Roman" w:cs="Times New Roman"/>
                <w:b/>
                <w:bCs/>
              </w:rPr>
              <w:t>médical</w:t>
            </w:r>
            <w:r w:rsidR="00B0346D">
              <w:rPr>
                <w:rFonts w:ascii="Times New Roman" w:hAnsi="Times New Roman" w:cs="Times New Roman"/>
                <w:b/>
                <w:bCs/>
              </w:rPr>
              <w:t>/Conseillère médicale SAN-45-A</w:t>
            </w:r>
          </w:p>
        </w:tc>
      </w:tr>
      <w:tr w:rsidR="006B4E97" w:rsidTr="00C213EB">
        <w:tblPrEx>
          <w:shd w:val="clear" w:color="auto" w:fill="auto"/>
        </w:tblPrEx>
        <w:tc>
          <w:tcPr>
            <w:tcW w:w="3936" w:type="dxa"/>
            <w:tcBorders>
              <w:top w:val="single" w:sz="2" w:space="0" w:color="auto"/>
              <w:left w:val="single" w:sz="2" w:space="0" w:color="auto"/>
              <w:bottom w:val="single" w:sz="2" w:space="0" w:color="auto"/>
              <w:right w:val="single" w:sz="2" w:space="0" w:color="auto"/>
            </w:tcBorders>
          </w:tcPr>
          <w:p w:rsidR="006B4E97" w:rsidRPr="00842FCC" w:rsidRDefault="00721999" w:rsidP="00842FCC">
            <w:pPr>
              <w:jc w:val="left"/>
              <w:rPr>
                <w:rFonts w:ascii="Times New Roman" w:hAnsi="Times New Roman" w:cs="Times New Roman"/>
                <w:b/>
              </w:rPr>
            </w:pPr>
            <w:r w:rsidRPr="00842FCC">
              <w:rPr>
                <w:rFonts w:ascii="Times New Roman" w:hAnsi="Times New Roman" w:cs="Times New Roman"/>
                <w:b/>
              </w:rPr>
              <w:t>Emploi-</w:t>
            </w:r>
            <w:r w:rsidR="006B4E97" w:rsidRPr="00842FCC">
              <w:rPr>
                <w:rFonts w:ascii="Times New Roman" w:hAnsi="Times New Roman" w:cs="Times New Roman"/>
                <w:b/>
              </w:rPr>
              <w:t>type secondaire</w:t>
            </w:r>
            <w:r w:rsidR="00423EDC" w:rsidRPr="00842FCC">
              <w:rPr>
                <w:rFonts w:ascii="Times New Roman" w:hAnsi="Times New Roman" w:cs="Times New Roman"/>
                <w:b/>
              </w:rPr>
              <w:t xml:space="preserve"> </w:t>
            </w:r>
            <w:r w:rsidR="004B66A6" w:rsidRPr="00842FCC">
              <w:rPr>
                <w:rFonts w:ascii="Times New Roman" w:hAnsi="Times New Roman" w:cs="Times New Roman"/>
                <w:b/>
              </w:rPr>
              <w:t>/</w:t>
            </w:r>
            <w:r w:rsidR="00423EDC" w:rsidRPr="00842FCC">
              <w:rPr>
                <w:rFonts w:ascii="Times New Roman" w:hAnsi="Times New Roman" w:cs="Times New Roman"/>
                <w:b/>
              </w:rPr>
              <w:t xml:space="preserve"> </w:t>
            </w:r>
            <w:r w:rsidR="004B66A6" w:rsidRPr="00842FCC">
              <w:rPr>
                <w:rFonts w:ascii="Times New Roman" w:hAnsi="Times New Roman" w:cs="Times New Roman"/>
                <w:b/>
              </w:rPr>
              <w:t xml:space="preserve">code fiche </w:t>
            </w:r>
          </w:p>
        </w:tc>
        <w:tc>
          <w:tcPr>
            <w:tcW w:w="6804" w:type="dxa"/>
            <w:tcBorders>
              <w:top w:val="single" w:sz="2" w:space="0" w:color="auto"/>
              <w:left w:val="single" w:sz="2" w:space="0" w:color="auto"/>
              <w:bottom w:val="single" w:sz="2" w:space="0" w:color="auto"/>
              <w:right w:val="single" w:sz="2" w:space="0" w:color="auto"/>
            </w:tcBorders>
          </w:tcPr>
          <w:p w:rsidR="006B4E97" w:rsidRDefault="006B4E97" w:rsidP="005C52D2">
            <w:pPr>
              <w:jc w:val="left"/>
            </w:pPr>
          </w:p>
        </w:tc>
      </w:tr>
      <w:tr w:rsidR="0005744D" w:rsidTr="00C213EB">
        <w:tblPrEx>
          <w:shd w:val="clear" w:color="auto" w:fill="auto"/>
        </w:tblPrEx>
        <w:tc>
          <w:tcPr>
            <w:tcW w:w="39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744D" w:rsidRPr="00842FCC" w:rsidRDefault="0005744D" w:rsidP="00842FCC">
            <w:pPr>
              <w:jc w:val="left"/>
              <w:rPr>
                <w:rFonts w:ascii="Times New Roman" w:hAnsi="Times New Roman" w:cs="Times New Roman"/>
                <w:b/>
              </w:rPr>
            </w:pP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5744D" w:rsidRDefault="0005744D" w:rsidP="005C52D2">
            <w:pPr>
              <w:jc w:val="left"/>
            </w:pPr>
          </w:p>
        </w:tc>
      </w:tr>
      <w:tr w:rsidR="006B4E97" w:rsidTr="00F1280E">
        <w:tblPrEx>
          <w:shd w:val="clear" w:color="auto" w:fill="auto"/>
        </w:tblPrEx>
        <w:trPr>
          <w:trHeight w:val="344"/>
        </w:trPr>
        <w:tc>
          <w:tcPr>
            <w:tcW w:w="3936" w:type="dxa"/>
            <w:tcBorders>
              <w:top w:val="single" w:sz="2" w:space="0" w:color="auto"/>
              <w:left w:val="single" w:sz="2" w:space="0" w:color="auto"/>
              <w:bottom w:val="single" w:sz="2" w:space="0" w:color="auto"/>
              <w:right w:val="single" w:sz="2" w:space="0" w:color="auto"/>
            </w:tcBorders>
          </w:tcPr>
          <w:p w:rsidR="006B4E97" w:rsidRPr="00842FCC" w:rsidRDefault="006B4E97" w:rsidP="00842FCC">
            <w:pPr>
              <w:jc w:val="left"/>
              <w:rPr>
                <w:rFonts w:ascii="Times New Roman" w:hAnsi="Times New Roman" w:cs="Times New Roman"/>
                <w:b/>
              </w:rPr>
            </w:pPr>
            <w:r w:rsidRPr="00842FCC">
              <w:rPr>
                <w:rFonts w:ascii="Times New Roman" w:hAnsi="Times New Roman" w:cs="Times New Roman"/>
                <w:b/>
              </w:rPr>
              <w:t>Catégorie/niveau</w:t>
            </w:r>
          </w:p>
        </w:tc>
        <w:tc>
          <w:tcPr>
            <w:tcW w:w="6804" w:type="dxa"/>
            <w:tcBorders>
              <w:top w:val="single" w:sz="2" w:space="0" w:color="auto"/>
              <w:left w:val="single" w:sz="2" w:space="0" w:color="auto"/>
              <w:bottom w:val="single" w:sz="2" w:space="0" w:color="auto"/>
              <w:right w:val="single" w:sz="2" w:space="0" w:color="auto"/>
            </w:tcBorders>
          </w:tcPr>
          <w:p w:rsidR="006B4E97" w:rsidRPr="005C089F" w:rsidRDefault="004B3F3A" w:rsidP="001B198A">
            <w:pPr>
              <w:jc w:val="left"/>
              <w:rPr>
                <w:rFonts w:ascii="Times New Roman" w:hAnsi="Times New Roman" w:cs="Times New Roman"/>
              </w:rPr>
            </w:pPr>
            <w:r>
              <w:rPr>
                <w:rFonts w:ascii="Times New Roman" w:hAnsi="Times New Roman" w:cs="Times New Roman"/>
              </w:rPr>
              <w:t>Fonctio</w:t>
            </w:r>
            <w:r w:rsidR="00990660">
              <w:rPr>
                <w:rFonts w:ascii="Times New Roman" w:hAnsi="Times New Roman" w:cs="Times New Roman"/>
              </w:rPr>
              <w:t>n Publique Hospitalière caté</w:t>
            </w:r>
            <w:r w:rsidR="001B198A">
              <w:rPr>
                <w:rFonts w:ascii="Times New Roman" w:hAnsi="Times New Roman" w:cs="Times New Roman"/>
              </w:rPr>
              <w:t>gorie A – Praticien Hospitalier - mis à disposition</w:t>
            </w:r>
          </w:p>
        </w:tc>
      </w:tr>
      <w:tr w:rsidR="004C73CA" w:rsidTr="004C73CA">
        <w:tblPrEx>
          <w:shd w:val="clear" w:color="auto" w:fill="auto"/>
        </w:tblPrEx>
        <w:tc>
          <w:tcPr>
            <w:tcW w:w="39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C73CA" w:rsidRPr="00842FCC" w:rsidRDefault="004C73CA" w:rsidP="00842FCC">
            <w:pPr>
              <w:jc w:val="left"/>
              <w:rPr>
                <w:rFonts w:ascii="Times New Roman" w:hAnsi="Times New Roman" w:cs="Times New Roman"/>
                <w:b/>
              </w:rPr>
            </w:pP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C73CA" w:rsidRDefault="004C73CA" w:rsidP="005C52D2">
            <w:pPr>
              <w:jc w:val="left"/>
            </w:pPr>
          </w:p>
        </w:tc>
      </w:tr>
      <w:tr w:rsidR="0005744D" w:rsidTr="00C213EB">
        <w:tblPrEx>
          <w:shd w:val="clear" w:color="auto" w:fill="auto"/>
        </w:tblPrEx>
        <w:tc>
          <w:tcPr>
            <w:tcW w:w="3936" w:type="dxa"/>
            <w:tcBorders>
              <w:top w:val="single" w:sz="2" w:space="0" w:color="auto"/>
              <w:left w:val="single" w:sz="2" w:space="0" w:color="auto"/>
              <w:bottom w:val="single" w:sz="2" w:space="0" w:color="auto"/>
              <w:right w:val="single" w:sz="2" w:space="0" w:color="auto"/>
            </w:tcBorders>
          </w:tcPr>
          <w:p w:rsidR="0005744D" w:rsidRPr="00842FCC" w:rsidRDefault="0005744D" w:rsidP="00842FCC">
            <w:pPr>
              <w:jc w:val="left"/>
              <w:rPr>
                <w:rFonts w:ascii="Times New Roman" w:hAnsi="Times New Roman" w:cs="Times New Roman"/>
                <w:b/>
              </w:rPr>
            </w:pPr>
            <w:r w:rsidRPr="00842FCC">
              <w:rPr>
                <w:rFonts w:ascii="Times New Roman" w:hAnsi="Times New Roman" w:cs="Times New Roman"/>
                <w:b/>
              </w:rPr>
              <w:t>Quotité du poste</w:t>
            </w:r>
          </w:p>
        </w:tc>
        <w:tc>
          <w:tcPr>
            <w:tcW w:w="6804" w:type="dxa"/>
            <w:tcBorders>
              <w:top w:val="single" w:sz="2" w:space="0" w:color="auto"/>
              <w:left w:val="single" w:sz="2" w:space="0" w:color="auto"/>
              <w:bottom w:val="single" w:sz="2" w:space="0" w:color="auto"/>
              <w:right w:val="single" w:sz="2" w:space="0" w:color="auto"/>
            </w:tcBorders>
          </w:tcPr>
          <w:p w:rsidR="0005744D" w:rsidRDefault="00990660" w:rsidP="005C52D2">
            <w:pPr>
              <w:jc w:val="left"/>
            </w:pPr>
            <w:r w:rsidRPr="00990660">
              <w:rPr>
                <w:rFonts w:ascii="Times New Roman" w:hAnsi="Times New Roman" w:cs="Times New Roman"/>
              </w:rPr>
              <w:t>100%</w:t>
            </w:r>
          </w:p>
        </w:tc>
      </w:tr>
      <w:tr w:rsidR="00436F9F" w:rsidTr="00C213EB">
        <w:tblPrEx>
          <w:shd w:val="clear" w:color="auto" w:fill="auto"/>
        </w:tblPrEx>
        <w:tc>
          <w:tcPr>
            <w:tcW w:w="39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36F9F" w:rsidRPr="00842FCC" w:rsidRDefault="00436F9F" w:rsidP="00842FCC">
            <w:pPr>
              <w:jc w:val="left"/>
              <w:rPr>
                <w:rFonts w:ascii="Times New Roman" w:hAnsi="Times New Roman" w:cs="Times New Roman"/>
                <w:b/>
              </w:rPr>
            </w:pPr>
          </w:p>
        </w:tc>
        <w:tc>
          <w:tcPr>
            <w:tcW w:w="680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36F9F" w:rsidRDefault="00436F9F" w:rsidP="005C52D2">
            <w:pPr>
              <w:jc w:val="left"/>
            </w:pPr>
          </w:p>
        </w:tc>
      </w:tr>
      <w:tr w:rsidR="005C52D2" w:rsidTr="00C213EB">
        <w:tblPrEx>
          <w:shd w:val="clear" w:color="auto" w:fill="auto"/>
        </w:tblPrEx>
        <w:tc>
          <w:tcPr>
            <w:tcW w:w="3936" w:type="dxa"/>
            <w:tcBorders>
              <w:top w:val="single" w:sz="2" w:space="0" w:color="auto"/>
              <w:left w:val="single" w:sz="2" w:space="0" w:color="auto"/>
              <w:bottom w:val="single" w:sz="2" w:space="0" w:color="auto"/>
              <w:right w:val="single" w:sz="2" w:space="0" w:color="auto"/>
            </w:tcBorders>
          </w:tcPr>
          <w:p w:rsidR="005C52D2" w:rsidRDefault="005C52D2" w:rsidP="00842FCC">
            <w:pPr>
              <w:jc w:val="left"/>
              <w:rPr>
                <w:rFonts w:ascii="Times New Roman" w:hAnsi="Times New Roman" w:cs="Times New Roman"/>
                <w:b/>
              </w:rPr>
            </w:pPr>
            <w:r w:rsidRPr="00842FCC">
              <w:rPr>
                <w:rFonts w:ascii="Times New Roman" w:hAnsi="Times New Roman" w:cs="Times New Roman"/>
                <w:b/>
              </w:rPr>
              <w:t>Lieu d’affectation</w:t>
            </w:r>
          </w:p>
          <w:p w:rsidR="005C52D2" w:rsidRPr="00842FCC" w:rsidRDefault="005C52D2" w:rsidP="00842FCC">
            <w:pPr>
              <w:jc w:val="left"/>
              <w:rPr>
                <w:rFonts w:ascii="Times New Roman" w:hAnsi="Times New Roman" w:cs="Times New Roman"/>
                <w:b/>
              </w:rPr>
            </w:pPr>
          </w:p>
        </w:tc>
        <w:tc>
          <w:tcPr>
            <w:tcW w:w="6804" w:type="dxa"/>
            <w:tcBorders>
              <w:top w:val="single" w:sz="2" w:space="0" w:color="auto"/>
              <w:left w:val="single" w:sz="2" w:space="0" w:color="auto"/>
              <w:bottom w:val="single" w:sz="2" w:space="0" w:color="auto"/>
              <w:right w:val="single" w:sz="2" w:space="0" w:color="auto"/>
            </w:tcBorders>
          </w:tcPr>
          <w:p w:rsidR="005C52D2" w:rsidRDefault="00446694" w:rsidP="005C52D2">
            <w:pPr>
              <w:jc w:val="left"/>
              <w:rPr>
                <w:rFonts w:ascii="Times New Roman" w:hAnsi="Times New Roman" w:cs="Times New Roman"/>
              </w:rPr>
            </w:pPr>
            <w:r>
              <w:rPr>
                <w:rFonts w:ascii="Times New Roman" w:hAnsi="Times New Roman" w:cs="Times New Roman"/>
              </w:rPr>
              <w:t>ARS Bourgogne/ Fran</w:t>
            </w:r>
            <w:r w:rsidR="00990660">
              <w:rPr>
                <w:rFonts w:ascii="Times New Roman" w:hAnsi="Times New Roman" w:cs="Times New Roman"/>
              </w:rPr>
              <w:t>che-Comté - site de Dijon</w:t>
            </w:r>
            <w:r>
              <w:rPr>
                <w:rFonts w:ascii="Times New Roman" w:hAnsi="Times New Roman" w:cs="Times New Roman"/>
              </w:rPr>
              <w:t>.</w:t>
            </w:r>
          </w:p>
          <w:p w:rsidR="00990660" w:rsidRPr="0012508D" w:rsidRDefault="00990660" w:rsidP="005C52D2">
            <w:pPr>
              <w:jc w:val="left"/>
              <w:rPr>
                <w:rFonts w:ascii="Times New Roman" w:hAnsi="Times New Roman" w:cs="Times New Roman"/>
              </w:rPr>
            </w:pPr>
            <w:r>
              <w:rPr>
                <w:rFonts w:ascii="Times New Roman" w:hAnsi="Times New Roman" w:cs="Times New Roman"/>
              </w:rPr>
              <w:t>2 Place des Savoirs – 21 000 DIJON</w:t>
            </w:r>
          </w:p>
        </w:tc>
      </w:tr>
      <w:tr w:rsidR="002F125A" w:rsidTr="002F125A">
        <w:tblPrEx>
          <w:shd w:val="clear" w:color="auto" w:fill="auto"/>
        </w:tblPrEx>
        <w:tc>
          <w:tcPr>
            <w:tcW w:w="3936" w:type="dxa"/>
          </w:tcPr>
          <w:p w:rsidR="002F125A" w:rsidRPr="00FB7BDF" w:rsidRDefault="002F125A" w:rsidP="00CA7DA8">
            <w:pPr>
              <w:jc w:val="left"/>
              <w:rPr>
                <w:rFonts w:ascii="Times New Roman" w:hAnsi="Times New Roman" w:cs="Times New Roman"/>
                <w:b/>
              </w:rPr>
            </w:pPr>
            <w:r w:rsidRPr="00FB7BDF">
              <w:rPr>
                <w:rFonts w:ascii="Times New Roman" w:hAnsi="Times New Roman" w:cs="Times New Roman"/>
                <w:b/>
              </w:rPr>
              <w:t>Direction/</w:t>
            </w:r>
            <w:r w:rsidR="00CA7DA8">
              <w:rPr>
                <w:rFonts w:ascii="Times New Roman" w:hAnsi="Times New Roman" w:cs="Times New Roman"/>
                <w:b/>
              </w:rPr>
              <w:t>Département</w:t>
            </w:r>
          </w:p>
        </w:tc>
        <w:tc>
          <w:tcPr>
            <w:tcW w:w="6804" w:type="dxa"/>
          </w:tcPr>
          <w:p w:rsidR="002F125A" w:rsidRPr="00FB7BDF" w:rsidRDefault="002F125A" w:rsidP="002F125A">
            <w:pPr>
              <w:jc w:val="left"/>
              <w:rPr>
                <w:rFonts w:ascii="Times New Roman" w:hAnsi="Times New Roman" w:cs="Times New Roman"/>
              </w:rPr>
            </w:pPr>
            <w:r>
              <w:rPr>
                <w:rFonts w:ascii="Times New Roman" w:hAnsi="Times New Roman" w:cs="Times New Roman"/>
              </w:rPr>
              <w:t>Direction de la Santé Publique</w:t>
            </w:r>
            <w:r w:rsidR="00CA7DA8">
              <w:rPr>
                <w:rFonts w:ascii="Times New Roman" w:hAnsi="Times New Roman" w:cs="Times New Roman"/>
              </w:rPr>
              <w:t>/ Département « Veille &amp; Sécurité Sanitaire »</w:t>
            </w:r>
          </w:p>
        </w:tc>
      </w:tr>
      <w:tr w:rsidR="002F125A" w:rsidTr="002F125A">
        <w:tblPrEx>
          <w:shd w:val="clear" w:color="auto" w:fill="auto"/>
        </w:tblPrEx>
        <w:tc>
          <w:tcPr>
            <w:tcW w:w="3936" w:type="dxa"/>
          </w:tcPr>
          <w:p w:rsidR="002F125A" w:rsidRPr="00FB7BDF" w:rsidRDefault="002F125A" w:rsidP="000F78E6">
            <w:pPr>
              <w:jc w:val="left"/>
              <w:rPr>
                <w:rFonts w:ascii="Times New Roman" w:hAnsi="Times New Roman" w:cs="Times New Roman"/>
                <w:b/>
              </w:rPr>
            </w:pPr>
            <w:r w:rsidRPr="00FB7BDF">
              <w:rPr>
                <w:rFonts w:ascii="Times New Roman" w:hAnsi="Times New Roman" w:cs="Times New Roman"/>
                <w:b/>
              </w:rPr>
              <w:t xml:space="preserve">Rattachement </w:t>
            </w:r>
            <w:r w:rsidR="000F78E6">
              <w:rPr>
                <w:rFonts w:ascii="Times New Roman" w:hAnsi="Times New Roman" w:cs="Times New Roman"/>
                <w:b/>
              </w:rPr>
              <w:t>fonctionnel</w:t>
            </w:r>
          </w:p>
        </w:tc>
        <w:tc>
          <w:tcPr>
            <w:tcW w:w="6804" w:type="dxa"/>
          </w:tcPr>
          <w:p w:rsidR="002F125A" w:rsidRPr="00FB7BDF" w:rsidRDefault="002F125A" w:rsidP="00CA7DA8">
            <w:pPr>
              <w:jc w:val="left"/>
              <w:rPr>
                <w:rFonts w:ascii="Times New Roman" w:hAnsi="Times New Roman" w:cs="Times New Roman"/>
              </w:rPr>
            </w:pPr>
            <w:r>
              <w:rPr>
                <w:rFonts w:ascii="Times New Roman" w:hAnsi="Times New Roman" w:cs="Times New Roman"/>
              </w:rPr>
              <w:t xml:space="preserve">Mme Nathalie HERMAN, Adjointe au Responsable du </w:t>
            </w:r>
            <w:r w:rsidR="00CA7DA8">
              <w:rPr>
                <w:rFonts w:ascii="Times New Roman" w:hAnsi="Times New Roman" w:cs="Times New Roman"/>
              </w:rPr>
              <w:t>Département</w:t>
            </w:r>
          </w:p>
        </w:tc>
      </w:tr>
    </w:tbl>
    <w:p w:rsidR="00CD01BA" w:rsidRDefault="00CD01BA"/>
    <w:tbl>
      <w:tblPr>
        <w:tblW w:w="10774"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1E0" w:firstRow="1" w:lastRow="1" w:firstColumn="1" w:lastColumn="1" w:noHBand="0" w:noVBand="0"/>
      </w:tblPr>
      <w:tblGrid>
        <w:gridCol w:w="10774"/>
      </w:tblGrid>
      <w:tr w:rsidR="00650919" w:rsidRPr="00CC754B" w:rsidTr="00423EDC">
        <w:trPr>
          <w:trHeight w:val="67"/>
        </w:trPr>
        <w:tc>
          <w:tcPr>
            <w:tcW w:w="10774"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4E29E3" w:rsidRPr="004C73CA" w:rsidRDefault="004E29E3" w:rsidP="004E29E3">
            <w:pPr>
              <w:jc w:val="center"/>
              <w:rPr>
                <w:rFonts w:ascii="Times New Roman" w:hAnsi="Times New Roman" w:cs="Times New Roman"/>
                <w:b/>
                <w:bCs/>
                <w:color w:val="17365D" w:themeColor="text2" w:themeShade="BF"/>
              </w:rPr>
            </w:pPr>
          </w:p>
          <w:p w:rsidR="00650919" w:rsidRPr="003067AC" w:rsidRDefault="00650919" w:rsidP="004E29E3">
            <w:pPr>
              <w:jc w:val="center"/>
              <w:rPr>
                <w:rFonts w:ascii="Times New Roman" w:hAnsi="Times New Roman" w:cs="Times New Roman"/>
                <w:b/>
                <w:bCs/>
                <w:color w:val="659B29"/>
              </w:rPr>
            </w:pPr>
            <w:r w:rsidRPr="003067AC">
              <w:rPr>
                <w:rFonts w:ascii="Times New Roman" w:hAnsi="Times New Roman" w:cs="Times New Roman"/>
                <w:b/>
                <w:bCs/>
                <w:color w:val="659B29"/>
              </w:rPr>
              <w:t>DESCRIPTION DU POSTE</w:t>
            </w:r>
          </w:p>
          <w:p w:rsidR="00E150C4" w:rsidRPr="00CC754B" w:rsidRDefault="00E150C4" w:rsidP="004E29E3">
            <w:pPr>
              <w:jc w:val="center"/>
              <w:rPr>
                <w:rFonts w:ascii="Times New Roman" w:hAnsi="Times New Roman" w:cs="Times New Roman"/>
                <w:b/>
                <w:bCs/>
                <w:color w:val="669900"/>
              </w:rPr>
            </w:pPr>
          </w:p>
        </w:tc>
      </w:tr>
      <w:tr w:rsidR="00650919" w:rsidRPr="006A6DAB" w:rsidTr="00936208">
        <w:trPr>
          <w:trHeight w:val="1136"/>
        </w:trPr>
        <w:tc>
          <w:tcPr>
            <w:tcW w:w="10774" w:type="dxa"/>
            <w:tcBorders>
              <w:top w:val="single" w:sz="2" w:space="0" w:color="auto"/>
              <w:left w:val="single" w:sz="4" w:space="0" w:color="auto"/>
              <w:bottom w:val="single" w:sz="2" w:space="0" w:color="auto"/>
              <w:right w:val="single" w:sz="4" w:space="0" w:color="auto"/>
            </w:tcBorders>
            <w:shd w:val="clear" w:color="auto" w:fill="auto"/>
          </w:tcPr>
          <w:p w:rsidR="00446694" w:rsidRDefault="00446694" w:rsidP="00D27297">
            <w:pPr>
              <w:autoSpaceDE w:val="0"/>
              <w:autoSpaceDN w:val="0"/>
              <w:adjustRightInd w:val="0"/>
              <w:rPr>
                <w:rFonts w:ascii="Times New Roman" w:hAnsi="Times New Roman" w:cs="Times New Roman"/>
              </w:rPr>
            </w:pPr>
          </w:p>
          <w:p w:rsidR="00BC2B17" w:rsidRDefault="00990660" w:rsidP="00D27297">
            <w:pPr>
              <w:autoSpaceDE w:val="0"/>
              <w:autoSpaceDN w:val="0"/>
              <w:adjustRightInd w:val="0"/>
              <w:rPr>
                <w:rFonts w:ascii="Times New Roman" w:hAnsi="Times New Roman" w:cs="Times New Roman"/>
              </w:rPr>
            </w:pPr>
            <w:r>
              <w:rPr>
                <w:rFonts w:ascii="Times New Roman" w:hAnsi="Times New Roman" w:cs="Times New Roman"/>
              </w:rPr>
              <w:t xml:space="preserve">En application du </w:t>
            </w:r>
            <w:r w:rsidRPr="00990660">
              <w:rPr>
                <w:rFonts w:ascii="Times New Roman" w:hAnsi="Times New Roman" w:cs="Times New Roman"/>
              </w:rPr>
              <w:t>décret n°2010-344 du 31 mars 2010, le coordonnateur régional d’hémovigilance est placé auprès du directeur général de l’ARS. Il exerce ses fonctions au sein d</w:t>
            </w:r>
            <w:r>
              <w:rPr>
                <w:rFonts w:ascii="Times New Roman" w:hAnsi="Times New Roman" w:cs="Times New Roman"/>
              </w:rPr>
              <w:t xml:space="preserve">u Département </w:t>
            </w:r>
            <w:r w:rsidR="00BD5B9E">
              <w:rPr>
                <w:rFonts w:ascii="Times New Roman" w:hAnsi="Times New Roman" w:cs="Times New Roman"/>
              </w:rPr>
              <w:t>Veille et sécurité sanitaire</w:t>
            </w:r>
            <w:r>
              <w:rPr>
                <w:rFonts w:ascii="Times New Roman" w:hAnsi="Times New Roman" w:cs="Times New Roman"/>
              </w:rPr>
              <w:t xml:space="preserve"> de la Direction de la Santé Publique</w:t>
            </w:r>
            <w:r w:rsidRPr="00990660">
              <w:rPr>
                <w:rFonts w:ascii="Times New Roman" w:hAnsi="Times New Roman" w:cs="Times New Roman"/>
              </w:rPr>
              <w:t xml:space="preserve">. </w:t>
            </w:r>
          </w:p>
          <w:p w:rsidR="00BC2B17" w:rsidRDefault="00BC2B17" w:rsidP="00D27297">
            <w:pPr>
              <w:autoSpaceDE w:val="0"/>
              <w:autoSpaceDN w:val="0"/>
              <w:adjustRightInd w:val="0"/>
              <w:rPr>
                <w:rFonts w:ascii="Times New Roman" w:hAnsi="Times New Roman" w:cs="Times New Roman"/>
              </w:rPr>
            </w:pPr>
          </w:p>
          <w:p w:rsidR="00944244" w:rsidRDefault="00990660" w:rsidP="00D27297">
            <w:pPr>
              <w:autoSpaceDE w:val="0"/>
              <w:autoSpaceDN w:val="0"/>
              <w:adjustRightInd w:val="0"/>
              <w:rPr>
                <w:rFonts w:ascii="Times New Roman" w:hAnsi="Times New Roman" w:cs="Times New Roman"/>
              </w:rPr>
            </w:pPr>
            <w:r w:rsidRPr="00990660">
              <w:rPr>
                <w:rFonts w:ascii="Times New Roman" w:hAnsi="Times New Roman" w:cs="Times New Roman"/>
              </w:rPr>
              <w:t xml:space="preserve">Ce médecin est chargé de l’animation du réseau d’hémovigilance sur la région </w:t>
            </w:r>
            <w:r w:rsidR="00BD5B9E">
              <w:rPr>
                <w:rFonts w:ascii="Times New Roman" w:hAnsi="Times New Roman" w:cs="Times New Roman"/>
              </w:rPr>
              <w:t xml:space="preserve">Bourgogne Franche-Comté </w:t>
            </w:r>
            <w:r w:rsidRPr="00990660">
              <w:rPr>
                <w:rFonts w:ascii="Times New Roman" w:hAnsi="Times New Roman" w:cs="Times New Roman"/>
              </w:rPr>
              <w:t>et assure le suivi de la sécurité transfusionnelle. Il travaille en lien avec les autres cadres techniques ou administratifs dédiés de</w:t>
            </w:r>
            <w:r>
              <w:rPr>
                <w:rFonts w:ascii="Times New Roman" w:hAnsi="Times New Roman" w:cs="Times New Roman"/>
              </w:rPr>
              <w:t xml:space="preserve"> la direction de la Santé Publique</w:t>
            </w:r>
            <w:r w:rsidRPr="00990660">
              <w:rPr>
                <w:rFonts w:ascii="Times New Roman" w:hAnsi="Times New Roman" w:cs="Times New Roman"/>
              </w:rPr>
              <w:t>. Il peut avoir à recourir, le cas échéant, aux compétences techniques des délégations territoriales ou des autres directions métier (direction de l’offre, de la performance, …).</w:t>
            </w:r>
          </w:p>
          <w:p w:rsidR="0051359F" w:rsidRDefault="0051359F" w:rsidP="00D27297">
            <w:pPr>
              <w:autoSpaceDE w:val="0"/>
              <w:autoSpaceDN w:val="0"/>
              <w:adjustRightInd w:val="0"/>
              <w:rPr>
                <w:rFonts w:ascii="Times New Roman" w:hAnsi="Times New Roman" w:cs="Times New Roman"/>
              </w:rPr>
            </w:pPr>
          </w:p>
          <w:p w:rsidR="00A23BBA" w:rsidRPr="009E1EF0" w:rsidRDefault="00EC43F6" w:rsidP="00E150C4">
            <w:pPr>
              <w:pBdr>
                <w:top w:val="single" w:sz="2" w:space="1" w:color="auto"/>
                <w:left w:val="single" w:sz="2" w:space="4" w:color="auto"/>
                <w:bottom w:val="single" w:sz="2" w:space="1" w:color="auto"/>
                <w:right w:val="single" w:sz="2" w:space="4" w:color="auto"/>
              </w:pBdr>
              <w:shd w:val="clear" w:color="auto" w:fill="F2F2F2" w:themeFill="background1" w:themeFillShade="F2"/>
              <w:rPr>
                <w:rFonts w:ascii="Times New Roman" w:hAnsi="Times New Roman" w:cs="Times New Roman"/>
                <w:b/>
              </w:rPr>
            </w:pPr>
            <w:r>
              <w:rPr>
                <w:rFonts w:ascii="Times New Roman" w:hAnsi="Times New Roman" w:cs="Times New Roman"/>
                <w:b/>
              </w:rPr>
              <w:t xml:space="preserve">Spécificités du poste </w:t>
            </w:r>
            <w:r w:rsidR="00A04631">
              <w:rPr>
                <w:rFonts w:ascii="Times New Roman" w:hAnsi="Times New Roman" w:cs="Times New Roman"/>
                <w:b/>
              </w:rPr>
              <w:t>:</w:t>
            </w:r>
          </w:p>
          <w:p w:rsidR="00A23BBA" w:rsidRDefault="00A23BBA" w:rsidP="00EC43F6">
            <w:pPr>
              <w:rPr>
                <w:rFonts w:ascii="Times New Roman" w:hAnsi="Times New Roman" w:cs="Times New Roman"/>
                <w:b/>
              </w:rPr>
            </w:pPr>
          </w:p>
          <w:p w:rsidR="00061743" w:rsidRDefault="00061743" w:rsidP="00061743">
            <w:pPr>
              <w:rPr>
                <w:rFonts w:ascii="Times New Roman" w:hAnsi="Times New Roman" w:cs="Times New Roman"/>
              </w:rPr>
            </w:pPr>
            <w:r>
              <w:rPr>
                <w:rFonts w:ascii="Times New Roman" w:hAnsi="Times New Roman" w:cs="Times New Roman"/>
              </w:rPr>
              <w:t xml:space="preserve"> </w:t>
            </w:r>
            <w:r w:rsidR="006D0A9B">
              <w:rPr>
                <w:rFonts w:ascii="Times New Roman" w:hAnsi="Times New Roman" w:cs="Times New Roman"/>
              </w:rPr>
              <w:fldChar w:fldCharType="begin">
                <w:ffData>
                  <w:name w:val="CaseACocher1"/>
                  <w:enabled/>
                  <w:calcOnExit w:val="0"/>
                  <w:checkBox>
                    <w:sizeAuto/>
                    <w:default w:val="0"/>
                  </w:checkBox>
                </w:ffData>
              </w:fldChar>
            </w:r>
            <w:bookmarkStart w:id="1" w:name="CaseACocher1"/>
            <w:r>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sidR="006D0A9B">
              <w:rPr>
                <w:rFonts w:ascii="Times New Roman" w:hAnsi="Times New Roman" w:cs="Times New Roman"/>
              </w:rPr>
              <w:fldChar w:fldCharType="end"/>
            </w:r>
            <w:bookmarkEnd w:id="1"/>
            <w:r>
              <w:rPr>
                <w:rFonts w:ascii="Times New Roman" w:hAnsi="Times New Roman" w:cs="Times New Roman"/>
              </w:rPr>
              <w:t xml:space="preserve"> Contraintes horaires (préciser) :                                       </w:t>
            </w:r>
            <w:r w:rsidR="006D0A9B">
              <w:rPr>
                <w:rFonts w:ascii="Times New Roman" w:hAnsi="Times New Roman" w:cs="Times New Roman"/>
              </w:rPr>
              <w:fldChar w:fldCharType="begin">
                <w:ffData>
                  <w:name w:val="CaseACocher2"/>
                  <w:enabled/>
                  <w:calcOnExit w:val="0"/>
                  <w:checkBox>
                    <w:sizeAuto/>
                    <w:default w:val="0"/>
                  </w:checkBox>
                </w:ffData>
              </w:fldChar>
            </w:r>
            <w:bookmarkStart w:id="2" w:name="CaseACocher2"/>
            <w:r>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sidR="006D0A9B">
              <w:rPr>
                <w:rFonts w:ascii="Times New Roman" w:hAnsi="Times New Roman" w:cs="Times New Roman"/>
              </w:rPr>
              <w:fldChar w:fldCharType="end"/>
            </w:r>
            <w:bookmarkEnd w:id="2"/>
            <w:r>
              <w:rPr>
                <w:rFonts w:ascii="Times New Roman" w:hAnsi="Times New Roman" w:cs="Times New Roman"/>
              </w:rPr>
              <w:t xml:space="preserve"> Participation à des réunions le soir ou samedi</w:t>
            </w:r>
          </w:p>
          <w:p w:rsidR="00061743" w:rsidRDefault="00061743" w:rsidP="00061743">
            <w:pPr>
              <w:rPr>
                <w:rFonts w:ascii="Times New Roman" w:hAnsi="Times New Roman" w:cs="Times New Roman"/>
              </w:rPr>
            </w:pPr>
          </w:p>
          <w:p w:rsidR="00061743" w:rsidRDefault="00061743" w:rsidP="00061743">
            <w:pPr>
              <w:rPr>
                <w:rFonts w:ascii="Times New Roman" w:hAnsi="Times New Roman" w:cs="Times New Roman"/>
              </w:rPr>
            </w:pPr>
            <w:r>
              <w:rPr>
                <w:rFonts w:ascii="Times New Roman" w:hAnsi="Times New Roman" w:cs="Times New Roman"/>
              </w:rPr>
              <w:t xml:space="preserve">Déplacements fréquents :   </w:t>
            </w:r>
            <w:r w:rsidR="00B64203">
              <w:rPr>
                <w:rFonts w:ascii="Times New Roman" w:hAnsi="Times New Roman" w:cs="Times New Roman"/>
              </w:rPr>
              <w:fldChar w:fldCharType="begin">
                <w:ffData>
                  <w:name w:val="CaseACocher3"/>
                  <w:enabled/>
                  <w:calcOnExit w:val="0"/>
                  <w:checkBox>
                    <w:sizeAuto/>
                    <w:default w:val="1"/>
                  </w:checkBox>
                </w:ffData>
              </w:fldChar>
            </w:r>
            <w:bookmarkStart w:id="3" w:name="CaseACocher3"/>
            <w:r w:rsidR="00B64203">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sidR="00B64203">
              <w:rPr>
                <w:rFonts w:ascii="Times New Roman" w:hAnsi="Times New Roman" w:cs="Times New Roman"/>
              </w:rPr>
              <w:fldChar w:fldCharType="end"/>
            </w:r>
            <w:bookmarkEnd w:id="3"/>
            <w:r>
              <w:rPr>
                <w:rFonts w:ascii="Times New Roman" w:hAnsi="Times New Roman" w:cs="Times New Roman"/>
              </w:rPr>
              <w:t xml:space="preserve"> </w:t>
            </w:r>
            <w:r w:rsidRPr="008D5BBA">
              <w:rPr>
                <w:rFonts w:ascii="Times New Roman" w:hAnsi="Times New Roman" w:cs="Times New Roman"/>
              </w:rPr>
              <w:t>région</w:t>
            </w:r>
            <w:r>
              <w:rPr>
                <w:rFonts w:ascii="Times New Roman" w:hAnsi="Times New Roman" w:cs="Times New Roman"/>
              </w:rPr>
              <w:t xml:space="preserve">   </w:t>
            </w:r>
            <w:r w:rsidR="008D5BBA">
              <w:rPr>
                <w:rFonts w:ascii="Times New Roman" w:hAnsi="Times New Roman" w:cs="Times New Roman"/>
              </w:rPr>
              <w:t xml:space="preserve">    </w:t>
            </w:r>
            <w:r w:rsidR="00B64203">
              <w:rPr>
                <w:rFonts w:ascii="Times New Roman" w:hAnsi="Times New Roman" w:cs="Times New Roman"/>
              </w:rPr>
              <w:fldChar w:fldCharType="begin">
                <w:ffData>
                  <w:name w:val="CaseACocher4"/>
                  <w:enabled/>
                  <w:calcOnExit w:val="0"/>
                  <w:checkBox>
                    <w:sizeAuto/>
                    <w:default w:val="0"/>
                  </w:checkBox>
                </w:ffData>
              </w:fldChar>
            </w:r>
            <w:bookmarkStart w:id="4" w:name="CaseACocher4"/>
            <w:r w:rsidR="00B64203">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sidR="00B64203">
              <w:rPr>
                <w:rFonts w:ascii="Times New Roman" w:hAnsi="Times New Roman" w:cs="Times New Roman"/>
              </w:rPr>
              <w:fldChar w:fldCharType="end"/>
            </w:r>
            <w:bookmarkEnd w:id="4"/>
            <w:r w:rsidR="008D5BBA">
              <w:rPr>
                <w:rFonts w:ascii="Times New Roman" w:hAnsi="Times New Roman" w:cs="Times New Roman"/>
              </w:rPr>
              <w:t xml:space="preserve">hors région        </w:t>
            </w:r>
            <w:r w:rsidR="000F78E6">
              <w:rPr>
                <w:rFonts w:ascii="Times New Roman" w:hAnsi="Times New Roman" w:cs="Times New Roman"/>
              </w:rPr>
              <w:fldChar w:fldCharType="begin">
                <w:ffData>
                  <w:name w:val="CaseACocher5"/>
                  <w:enabled/>
                  <w:calcOnExit w:val="0"/>
                  <w:checkBox>
                    <w:sizeAuto/>
                    <w:default w:val="1"/>
                  </w:checkBox>
                </w:ffData>
              </w:fldChar>
            </w:r>
            <w:bookmarkStart w:id="5" w:name="CaseACocher5"/>
            <w:r w:rsidR="000F78E6">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sidR="000F78E6">
              <w:rPr>
                <w:rFonts w:ascii="Times New Roman" w:hAnsi="Times New Roman" w:cs="Times New Roman"/>
              </w:rPr>
              <w:fldChar w:fldCharType="end"/>
            </w:r>
            <w:bookmarkEnd w:id="5"/>
            <w:r>
              <w:rPr>
                <w:rFonts w:ascii="Times New Roman" w:hAnsi="Times New Roman" w:cs="Times New Roman"/>
              </w:rPr>
              <w:t xml:space="preserve"> Forfait jours</w:t>
            </w:r>
          </w:p>
          <w:p w:rsidR="00423EDC" w:rsidRDefault="00423EDC" w:rsidP="00061743">
            <w:pPr>
              <w:rPr>
                <w:rFonts w:ascii="Times New Roman" w:hAnsi="Times New Roman" w:cs="Times New Roman"/>
              </w:rPr>
            </w:pPr>
          </w:p>
          <w:p w:rsidR="00EC43F6" w:rsidRPr="009E1EF0" w:rsidRDefault="00EC43F6" w:rsidP="00E150C4">
            <w:pPr>
              <w:pBdr>
                <w:top w:val="single" w:sz="2" w:space="1" w:color="auto"/>
                <w:left w:val="single" w:sz="2" w:space="4" w:color="auto"/>
                <w:bottom w:val="single" w:sz="2" w:space="1" w:color="auto"/>
                <w:right w:val="single" w:sz="2" w:space="4" w:color="auto"/>
              </w:pBdr>
              <w:shd w:val="clear" w:color="auto" w:fill="F2F2F2" w:themeFill="background1" w:themeFillShade="F2"/>
              <w:rPr>
                <w:rFonts w:ascii="Times New Roman" w:hAnsi="Times New Roman" w:cs="Times New Roman"/>
                <w:b/>
              </w:rPr>
            </w:pPr>
            <w:r>
              <w:rPr>
                <w:rFonts w:ascii="Times New Roman" w:hAnsi="Times New Roman" w:cs="Times New Roman"/>
                <w:b/>
              </w:rPr>
              <w:t>Missions</w:t>
            </w:r>
            <w:r w:rsidR="00423EDC">
              <w:rPr>
                <w:rFonts w:ascii="Times New Roman" w:hAnsi="Times New Roman" w:cs="Times New Roman"/>
                <w:b/>
              </w:rPr>
              <w:t> :</w:t>
            </w:r>
          </w:p>
          <w:p w:rsidR="00BC2B17" w:rsidRDefault="00BC2B17" w:rsidP="002A3924">
            <w:pPr>
              <w:rPr>
                <w:rFonts w:ascii="Times New Roman" w:hAnsi="Times New Roman" w:cs="Times New Roman"/>
                <w:b/>
                <w:i/>
              </w:rPr>
            </w:pPr>
          </w:p>
          <w:p w:rsidR="000150E9" w:rsidRDefault="000150E9" w:rsidP="000150E9">
            <w:pPr>
              <w:autoSpaceDE w:val="0"/>
              <w:autoSpaceDN w:val="0"/>
              <w:adjustRightInd w:val="0"/>
              <w:jc w:val="left"/>
              <w:rPr>
                <w:rFonts w:eastAsiaTheme="minorHAnsi"/>
                <w:sz w:val="20"/>
                <w:szCs w:val="20"/>
                <w:lang w:eastAsia="en-US"/>
              </w:rPr>
            </w:pPr>
            <w:r>
              <w:rPr>
                <w:rFonts w:eastAsiaTheme="minorHAnsi"/>
                <w:b/>
                <w:bCs/>
                <w:sz w:val="20"/>
                <w:szCs w:val="20"/>
                <w:lang w:eastAsia="en-US"/>
              </w:rPr>
              <w:t xml:space="preserve">L’article R. 1221-32 et suivants du CSP modifié par le décret n° 2010-334 du 31 mars 2010 </w:t>
            </w:r>
            <w:r>
              <w:rPr>
                <w:rFonts w:eastAsiaTheme="minorHAnsi"/>
                <w:sz w:val="20"/>
                <w:szCs w:val="20"/>
                <w:lang w:eastAsia="en-US"/>
              </w:rPr>
              <w:t>précise les</w:t>
            </w:r>
          </w:p>
          <w:p w:rsidR="000150E9" w:rsidRDefault="000150E9" w:rsidP="00F17186">
            <w:pPr>
              <w:autoSpaceDE w:val="0"/>
              <w:autoSpaceDN w:val="0"/>
              <w:adjustRightInd w:val="0"/>
              <w:jc w:val="left"/>
              <w:rPr>
                <w:rFonts w:eastAsiaTheme="minorHAnsi"/>
                <w:sz w:val="20"/>
                <w:szCs w:val="20"/>
                <w:lang w:eastAsia="en-US"/>
              </w:rPr>
            </w:pPr>
            <w:r>
              <w:rPr>
                <w:rFonts w:eastAsiaTheme="minorHAnsi"/>
                <w:sz w:val="20"/>
                <w:szCs w:val="20"/>
                <w:lang w:eastAsia="en-US"/>
              </w:rPr>
              <w:t>missions du Coordonnateur Régional d’Hémovigilance</w:t>
            </w:r>
            <w:r w:rsidR="00DD31E6">
              <w:rPr>
                <w:rFonts w:eastAsiaTheme="minorHAnsi"/>
                <w:sz w:val="20"/>
                <w:szCs w:val="20"/>
                <w:lang w:eastAsia="en-US"/>
              </w:rPr>
              <w:t xml:space="preserve"> et sécurité transfusionnelle</w:t>
            </w:r>
            <w:r>
              <w:rPr>
                <w:rFonts w:eastAsiaTheme="minorHAnsi"/>
                <w:sz w:val="20"/>
                <w:szCs w:val="20"/>
                <w:lang w:eastAsia="en-US"/>
              </w:rPr>
              <w:t xml:space="preserve"> (CRH</w:t>
            </w:r>
            <w:r w:rsidR="00DD31E6">
              <w:rPr>
                <w:rFonts w:eastAsiaTheme="minorHAnsi"/>
                <w:sz w:val="20"/>
                <w:szCs w:val="20"/>
                <w:lang w:eastAsia="en-US"/>
              </w:rPr>
              <w:t>ST</w:t>
            </w:r>
            <w:r>
              <w:rPr>
                <w:rFonts w:eastAsiaTheme="minorHAnsi"/>
                <w:sz w:val="20"/>
                <w:szCs w:val="20"/>
                <w:lang w:eastAsia="en-US"/>
              </w:rPr>
              <w:t>) qui est placé auprès du directeur général de</w:t>
            </w:r>
            <w:r w:rsidR="00095838">
              <w:rPr>
                <w:rFonts w:eastAsiaTheme="minorHAnsi"/>
                <w:sz w:val="20"/>
                <w:szCs w:val="20"/>
                <w:lang w:eastAsia="en-US"/>
              </w:rPr>
              <w:t xml:space="preserve"> </w:t>
            </w:r>
            <w:r>
              <w:rPr>
                <w:rFonts w:eastAsiaTheme="minorHAnsi"/>
                <w:sz w:val="20"/>
                <w:szCs w:val="20"/>
                <w:lang w:eastAsia="en-US"/>
              </w:rPr>
              <w:t>l’Agence Régionale de Santé (ARS) et qui est chargé des missions suivantes :</w:t>
            </w:r>
          </w:p>
          <w:p w:rsidR="000150E9" w:rsidRPr="00BD5B9E" w:rsidRDefault="000150E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Suivre la mise en œuvre par les établissements de santé et de transfusion sanguine de la</w:t>
            </w:r>
            <w:r w:rsidR="00BD5B9E" w:rsidRPr="00BD5B9E">
              <w:rPr>
                <w:rFonts w:eastAsiaTheme="minorHAnsi"/>
                <w:sz w:val="20"/>
                <w:szCs w:val="20"/>
                <w:lang w:eastAsia="en-US"/>
              </w:rPr>
              <w:t xml:space="preserve"> </w:t>
            </w:r>
            <w:r w:rsidRPr="00BD5B9E">
              <w:rPr>
                <w:rFonts w:eastAsiaTheme="minorHAnsi"/>
                <w:sz w:val="20"/>
                <w:szCs w:val="20"/>
                <w:lang w:eastAsia="en-US"/>
              </w:rPr>
              <w:t>région des dispositions de la section 4 du chapitre 1</w:t>
            </w:r>
            <w:r w:rsidRPr="00BD5B9E">
              <w:rPr>
                <w:rFonts w:eastAsiaTheme="minorHAnsi"/>
                <w:sz w:val="13"/>
                <w:szCs w:val="13"/>
                <w:lang w:eastAsia="en-US"/>
              </w:rPr>
              <w:t xml:space="preserve">er </w:t>
            </w:r>
            <w:r w:rsidRPr="00BD5B9E">
              <w:rPr>
                <w:rFonts w:eastAsiaTheme="minorHAnsi"/>
                <w:sz w:val="20"/>
                <w:szCs w:val="20"/>
                <w:lang w:eastAsia="en-US"/>
              </w:rPr>
              <w:t>du titre II du livre II CSP ainsi que, le cas</w:t>
            </w:r>
            <w:r w:rsidR="00BD5B9E" w:rsidRPr="00BD5B9E">
              <w:rPr>
                <w:rFonts w:eastAsiaTheme="minorHAnsi"/>
                <w:sz w:val="20"/>
                <w:szCs w:val="20"/>
                <w:lang w:eastAsia="en-US"/>
              </w:rPr>
              <w:t xml:space="preserve"> </w:t>
            </w:r>
            <w:r w:rsidRPr="00BD5B9E">
              <w:rPr>
                <w:rFonts w:eastAsiaTheme="minorHAnsi"/>
                <w:sz w:val="20"/>
                <w:szCs w:val="20"/>
                <w:lang w:eastAsia="en-US"/>
              </w:rPr>
              <w:t xml:space="preserve">échéant, des décisions du directeur général de </w:t>
            </w:r>
            <w:r w:rsidR="00DD31E6">
              <w:rPr>
                <w:rFonts w:eastAsiaTheme="minorHAnsi"/>
                <w:sz w:val="20"/>
                <w:szCs w:val="20"/>
                <w:lang w:eastAsia="en-US"/>
              </w:rPr>
              <w:t>l’ANSM</w:t>
            </w:r>
            <w:r w:rsidRPr="00BD5B9E">
              <w:rPr>
                <w:rFonts w:eastAsiaTheme="minorHAnsi"/>
                <w:sz w:val="20"/>
                <w:szCs w:val="20"/>
                <w:lang w:eastAsia="en-US"/>
              </w:rPr>
              <w:t xml:space="preserve"> et des actions entreprises par les comités de sécurité transfusionnelle</w:t>
            </w:r>
            <w:r w:rsidR="00BD5B9E">
              <w:rPr>
                <w:rFonts w:eastAsiaTheme="minorHAnsi"/>
                <w:sz w:val="20"/>
                <w:szCs w:val="20"/>
                <w:lang w:eastAsia="en-US"/>
              </w:rPr>
              <w:t xml:space="preserve"> </w:t>
            </w:r>
            <w:r w:rsidRPr="00BD5B9E">
              <w:rPr>
                <w:rFonts w:eastAsiaTheme="minorHAnsi"/>
                <w:sz w:val="20"/>
                <w:szCs w:val="20"/>
                <w:lang w:eastAsia="en-US"/>
              </w:rPr>
              <w:t>et d’hémovigilance des établissements</w:t>
            </w:r>
          </w:p>
          <w:p w:rsidR="000150E9" w:rsidRPr="00BD5B9E" w:rsidRDefault="000150E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Entretenir des relations avec chacun des correspondants d’hémovigilance de la région, veiller avec eux à</w:t>
            </w:r>
            <w:r w:rsidR="00BD5B9E" w:rsidRPr="00BD5B9E">
              <w:rPr>
                <w:rFonts w:eastAsiaTheme="minorHAnsi"/>
                <w:sz w:val="20"/>
                <w:szCs w:val="20"/>
                <w:lang w:eastAsia="en-US"/>
              </w:rPr>
              <w:t xml:space="preserve"> </w:t>
            </w:r>
            <w:r w:rsidRPr="00BD5B9E">
              <w:rPr>
                <w:rFonts w:eastAsiaTheme="minorHAnsi"/>
                <w:sz w:val="20"/>
                <w:szCs w:val="20"/>
                <w:lang w:eastAsia="en-US"/>
              </w:rPr>
              <w:t>la qualité et à la fiabilité des informations recueillies en application des articles R. 1221-39 et R. 1221-43</w:t>
            </w:r>
            <w:r w:rsidR="00BD5B9E" w:rsidRPr="00BD5B9E">
              <w:rPr>
                <w:rFonts w:eastAsiaTheme="minorHAnsi"/>
                <w:sz w:val="20"/>
                <w:szCs w:val="20"/>
                <w:lang w:eastAsia="en-US"/>
              </w:rPr>
              <w:t xml:space="preserve"> </w:t>
            </w:r>
            <w:r w:rsidRPr="00BD5B9E">
              <w:rPr>
                <w:rFonts w:eastAsiaTheme="minorHAnsi"/>
                <w:sz w:val="20"/>
                <w:szCs w:val="20"/>
                <w:lang w:eastAsia="en-US"/>
              </w:rPr>
              <w:t>et se tenir informé de toute difficulté que les correspondants rencontreraient dans l’exercice de leur</w:t>
            </w:r>
            <w:r w:rsidR="00BD5B9E">
              <w:rPr>
                <w:rFonts w:eastAsiaTheme="minorHAnsi"/>
                <w:sz w:val="20"/>
                <w:szCs w:val="20"/>
                <w:lang w:eastAsia="en-US"/>
              </w:rPr>
              <w:t xml:space="preserve"> </w:t>
            </w:r>
            <w:r w:rsidRPr="00BD5B9E">
              <w:rPr>
                <w:rFonts w:eastAsiaTheme="minorHAnsi"/>
                <w:sz w:val="20"/>
                <w:szCs w:val="20"/>
                <w:lang w:eastAsia="en-US"/>
              </w:rPr>
              <w:t>mission</w:t>
            </w:r>
          </w:p>
          <w:p w:rsidR="000150E9" w:rsidRPr="00BD5B9E" w:rsidRDefault="000150E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Proposer le cas échéant, à l’A</w:t>
            </w:r>
            <w:r w:rsidR="001B198A">
              <w:rPr>
                <w:rFonts w:eastAsiaTheme="minorHAnsi"/>
                <w:sz w:val="20"/>
                <w:szCs w:val="20"/>
                <w:lang w:eastAsia="en-US"/>
              </w:rPr>
              <w:t>NSM</w:t>
            </w:r>
            <w:r w:rsidRPr="00BD5B9E">
              <w:rPr>
                <w:rFonts w:eastAsiaTheme="minorHAnsi"/>
                <w:sz w:val="20"/>
                <w:szCs w:val="20"/>
                <w:lang w:eastAsia="en-US"/>
              </w:rPr>
              <w:t>, sous couvert du directeur générale de l’ARS, l’adoption de toute</w:t>
            </w:r>
            <w:r w:rsidR="00BD5B9E">
              <w:rPr>
                <w:rFonts w:eastAsiaTheme="minorHAnsi"/>
                <w:sz w:val="20"/>
                <w:szCs w:val="20"/>
                <w:lang w:eastAsia="en-US"/>
              </w:rPr>
              <w:t xml:space="preserve"> </w:t>
            </w:r>
            <w:r w:rsidRPr="00BD5B9E">
              <w:rPr>
                <w:rFonts w:eastAsiaTheme="minorHAnsi"/>
                <w:sz w:val="20"/>
                <w:szCs w:val="20"/>
                <w:lang w:eastAsia="en-US"/>
              </w:rPr>
              <w:t>mesure susceptible d’améliorer la qualité, la fiabilité et la cohérence du dispositif d’hémovigilance</w:t>
            </w:r>
          </w:p>
          <w:p w:rsidR="000150E9" w:rsidRPr="00BD5B9E" w:rsidRDefault="000150E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Saisir sans délai le directeur général de l’ARS et le directeur de l’</w:t>
            </w:r>
            <w:r w:rsidR="00DD31E6">
              <w:rPr>
                <w:rFonts w:eastAsiaTheme="minorHAnsi"/>
                <w:sz w:val="20"/>
                <w:szCs w:val="20"/>
                <w:lang w:eastAsia="en-US"/>
              </w:rPr>
              <w:t xml:space="preserve">ANSM </w:t>
            </w:r>
            <w:r w:rsidRPr="00BD5B9E">
              <w:rPr>
                <w:rFonts w:eastAsiaTheme="minorHAnsi"/>
                <w:sz w:val="20"/>
                <w:szCs w:val="20"/>
                <w:lang w:eastAsia="en-US"/>
              </w:rPr>
              <w:t>de toute difficulté susceptible</w:t>
            </w:r>
            <w:r w:rsidR="00BD5B9E" w:rsidRPr="00BD5B9E">
              <w:rPr>
                <w:rFonts w:eastAsiaTheme="minorHAnsi"/>
                <w:sz w:val="20"/>
                <w:szCs w:val="20"/>
                <w:lang w:eastAsia="en-US"/>
              </w:rPr>
              <w:t xml:space="preserve"> </w:t>
            </w:r>
            <w:r w:rsidRPr="00BD5B9E">
              <w:rPr>
                <w:rFonts w:eastAsiaTheme="minorHAnsi"/>
                <w:sz w:val="20"/>
                <w:szCs w:val="20"/>
                <w:lang w:eastAsia="en-US"/>
              </w:rPr>
              <w:t xml:space="preserve">de </w:t>
            </w:r>
            <w:r w:rsidRPr="00BD5B9E">
              <w:rPr>
                <w:rFonts w:eastAsiaTheme="minorHAnsi"/>
                <w:sz w:val="20"/>
                <w:szCs w:val="20"/>
                <w:lang w:eastAsia="en-US"/>
              </w:rPr>
              <w:lastRenderedPageBreak/>
              <w:t>compromettre la sécurité transfusionnelle et en informer simultanément l’Etablissement Français du</w:t>
            </w:r>
            <w:r w:rsidR="00BD5B9E">
              <w:rPr>
                <w:rFonts w:eastAsiaTheme="minorHAnsi"/>
                <w:sz w:val="20"/>
                <w:szCs w:val="20"/>
                <w:lang w:eastAsia="en-US"/>
              </w:rPr>
              <w:t xml:space="preserve"> </w:t>
            </w:r>
            <w:r w:rsidRPr="00BD5B9E">
              <w:rPr>
                <w:rFonts w:eastAsiaTheme="minorHAnsi"/>
                <w:sz w:val="20"/>
                <w:szCs w:val="20"/>
                <w:lang w:eastAsia="en-US"/>
              </w:rPr>
              <w:t>Sang (EFS)</w:t>
            </w:r>
          </w:p>
          <w:p w:rsidR="000150E9" w:rsidRPr="00BD5B9E" w:rsidRDefault="000150E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Proposer, le cas échéant, au directeur général de l’ARS, les mesures à prendre au vu des fiches de</w:t>
            </w:r>
            <w:r w:rsidR="00BD5B9E">
              <w:rPr>
                <w:rFonts w:eastAsiaTheme="minorHAnsi"/>
                <w:sz w:val="20"/>
                <w:szCs w:val="20"/>
                <w:lang w:eastAsia="en-US"/>
              </w:rPr>
              <w:t xml:space="preserve"> </w:t>
            </w:r>
            <w:r w:rsidRPr="00BD5B9E">
              <w:rPr>
                <w:rFonts w:eastAsiaTheme="minorHAnsi"/>
                <w:sz w:val="20"/>
                <w:szCs w:val="20"/>
                <w:lang w:eastAsia="en-US"/>
              </w:rPr>
              <w:t>déclarations reçues en application de l’article R. 1221-50</w:t>
            </w:r>
          </w:p>
          <w:p w:rsidR="00AF3109" w:rsidRPr="00BD5B9E" w:rsidRDefault="000150E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Etablir annuellement un rapport d’activité remis au directeur général de l’ARS et au directeur de</w:t>
            </w:r>
            <w:r w:rsidR="00BD5B9E">
              <w:rPr>
                <w:rFonts w:eastAsiaTheme="minorHAnsi"/>
                <w:sz w:val="20"/>
                <w:szCs w:val="20"/>
                <w:lang w:eastAsia="en-US"/>
              </w:rPr>
              <w:t xml:space="preserve"> </w:t>
            </w:r>
            <w:r w:rsidRPr="00BD5B9E">
              <w:rPr>
                <w:rFonts w:eastAsiaTheme="minorHAnsi"/>
                <w:sz w:val="20"/>
                <w:szCs w:val="20"/>
                <w:lang w:eastAsia="en-US"/>
              </w:rPr>
              <w:t>l’A</w:t>
            </w:r>
            <w:r w:rsidR="001B198A">
              <w:rPr>
                <w:rFonts w:eastAsiaTheme="minorHAnsi"/>
                <w:sz w:val="20"/>
                <w:szCs w:val="20"/>
                <w:lang w:eastAsia="en-US"/>
              </w:rPr>
              <w:t>NSM</w:t>
            </w:r>
            <w:r w:rsidRPr="00BD5B9E">
              <w:rPr>
                <w:rFonts w:eastAsiaTheme="minorHAnsi"/>
                <w:sz w:val="20"/>
                <w:szCs w:val="20"/>
                <w:lang w:eastAsia="en-US"/>
              </w:rPr>
              <w:t xml:space="preserve"> avec copie à l’EFS</w:t>
            </w:r>
          </w:p>
          <w:p w:rsidR="00AF3109" w:rsidRPr="00BD5B9E" w:rsidRDefault="00AF310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 xml:space="preserve">De suivre la mise en place des mesures préventives et correctives proposées par les établissements de santé et par les établissements de transfusion sanguine dans les suites de la prise en charge d'un incident grave ou d'un effet indésirable survenu dans l'établissement ou au niveau régional. Ce suivi fait l'objet d'informations adressées au directeur général de l'agence régionale de santé et au directeur général de l'Agence nationale de sécurité du médicament et des produits de santé ; </w:t>
            </w:r>
          </w:p>
          <w:p w:rsidR="00AF3109" w:rsidRPr="00BD5B9E" w:rsidRDefault="00AF3109" w:rsidP="00BD5B9E">
            <w:pPr>
              <w:pStyle w:val="Paragraphedeliste"/>
              <w:numPr>
                <w:ilvl w:val="0"/>
                <w:numId w:val="39"/>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 xml:space="preserve">De veiller à la mise en place et au bon fonctionnement de l'échange des données transfusionnelles mentionnées à l'article </w:t>
            </w:r>
            <w:hyperlink r:id="rId10" w:history="1">
              <w:r w:rsidRPr="00BD5B9E">
                <w:rPr>
                  <w:rFonts w:eastAsiaTheme="minorHAnsi"/>
                  <w:sz w:val="20"/>
                  <w:szCs w:val="20"/>
                  <w:lang w:eastAsia="en-US"/>
                </w:rPr>
                <w:t>R. 1221-42</w:t>
              </w:r>
            </w:hyperlink>
            <w:r w:rsidRPr="00BD5B9E">
              <w:rPr>
                <w:rFonts w:eastAsiaTheme="minorHAnsi"/>
                <w:sz w:val="20"/>
                <w:szCs w:val="20"/>
                <w:lang w:eastAsia="en-US"/>
              </w:rPr>
              <w:t xml:space="preserve">. </w:t>
            </w:r>
          </w:p>
          <w:p w:rsidR="00AF3109" w:rsidRDefault="00AF3109" w:rsidP="00AF3109">
            <w:pPr>
              <w:autoSpaceDE w:val="0"/>
              <w:autoSpaceDN w:val="0"/>
              <w:adjustRightInd w:val="0"/>
              <w:ind w:left="318"/>
              <w:jc w:val="left"/>
              <w:rPr>
                <w:rFonts w:eastAsiaTheme="minorHAnsi"/>
                <w:sz w:val="20"/>
                <w:szCs w:val="20"/>
                <w:lang w:eastAsia="en-US"/>
              </w:rPr>
            </w:pPr>
          </w:p>
          <w:p w:rsidR="000150E9" w:rsidRDefault="000150E9" w:rsidP="000150E9">
            <w:pPr>
              <w:autoSpaceDE w:val="0"/>
              <w:autoSpaceDN w:val="0"/>
              <w:adjustRightInd w:val="0"/>
              <w:jc w:val="left"/>
              <w:rPr>
                <w:rFonts w:eastAsiaTheme="minorHAnsi"/>
                <w:b/>
                <w:bCs/>
                <w:sz w:val="20"/>
                <w:szCs w:val="20"/>
                <w:lang w:eastAsia="en-US"/>
              </w:rPr>
            </w:pPr>
            <w:r>
              <w:rPr>
                <w:rFonts w:ascii="Symbol" w:eastAsiaTheme="minorHAnsi" w:hAnsi="Symbol" w:cs="Symbol"/>
                <w:sz w:val="24"/>
                <w:szCs w:val="24"/>
                <w:lang w:eastAsia="en-US"/>
              </w:rPr>
              <w:t></w:t>
            </w:r>
            <w:r>
              <w:rPr>
                <w:rFonts w:ascii="Symbol" w:eastAsiaTheme="minorHAnsi" w:hAnsi="Symbol" w:cs="Symbol"/>
                <w:sz w:val="24"/>
                <w:szCs w:val="24"/>
                <w:lang w:eastAsia="en-US"/>
              </w:rPr>
              <w:t></w:t>
            </w:r>
            <w:r>
              <w:rPr>
                <w:rFonts w:eastAsiaTheme="minorHAnsi"/>
                <w:b/>
                <w:bCs/>
                <w:sz w:val="20"/>
                <w:szCs w:val="20"/>
                <w:lang w:eastAsia="en-US"/>
              </w:rPr>
              <w:t>Autres activités du coordonnateur régional d’hémovigilance</w:t>
            </w:r>
            <w:r w:rsidR="00BD5B9E">
              <w:rPr>
                <w:rFonts w:eastAsiaTheme="minorHAnsi"/>
                <w:b/>
                <w:bCs/>
                <w:sz w:val="20"/>
                <w:szCs w:val="20"/>
                <w:lang w:eastAsia="en-US"/>
              </w:rPr>
              <w:t xml:space="preserve"> et de sécurité transfusionnelle</w:t>
            </w:r>
          </w:p>
          <w:p w:rsidR="000150E9" w:rsidRDefault="000150E9" w:rsidP="000150E9">
            <w:pPr>
              <w:autoSpaceDE w:val="0"/>
              <w:autoSpaceDN w:val="0"/>
              <w:adjustRightInd w:val="0"/>
              <w:jc w:val="left"/>
              <w:rPr>
                <w:rFonts w:eastAsiaTheme="minorHAnsi"/>
                <w:sz w:val="20"/>
                <w:szCs w:val="20"/>
                <w:lang w:eastAsia="en-US"/>
              </w:rPr>
            </w:pPr>
            <w:r>
              <w:rPr>
                <w:rFonts w:eastAsiaTheme="minorHAnsi"/>
                <w:sz w:val="20"/>
                <w:szCs w:val="20"/>
                <w:lang w:eastAsia="en-US"/>
              </w:rPr>
              <w:t>Son action repose sur les</w:t>
            </w:r>
            <w:r w:rsidR="00BD5B9E">
              <w:rPr>
                <w:rFonts w:eastAsiaTheme="minorHAnsi"/>
                <w:sz w:val="20"/>
                <w:szCs w:val="20"/>
                <w:lang w:eastAsia="en-US"/>
              </w:rPr>
              <w:t xml:space="preserve"> </w:t>
            </w:r>
            <w:r>
              <w:rPr>
                <w:rFonts w:eastAsiaTheme="minorHAnsi"/>
                <w:sz w:val="20"/>
                <w:szCs w:val="20"/>
                <w:lang w:eastAsia="en-US"/>
              </w:rPr>
              <w:t>principes de l’amélioration des pratiques et correspond à un travail d’accompagnement continu et de fond au sein</w:t>
            </w:r>
            <w:r w:rsidR="00BD5B9E">
              <w:rPr>
                <w:rFonts w:eastAsiaTheme="minorHAnsi"/>
                <w:sz w:val="20"/>
                <w:szCs w:val="20"/>
                <w:lang w:eastAsia="en-US"/>
              </w:rPr>
              <w:t xml:space="preserve"> </w:t>
            </w:r>
            <w:r>
              <w:rPr>
                <w:rFonts w:eastAsiaTheme="minorHAnsi"/>
                <w:sz w:val="20"/>
                <w:szCs w:val="20"/>
                <w:lang w:eastAsia="en-US"/>
              </w:rPr>
              <w:t>d’un réseau de correspondants institutionnels bien identifiés.</w:t>
            </w:r>
            <w:r w:rsidR="00BD5B9E">
              <w:rPr>
                <w:rFonts w:eastAsiaTheme="minorHAnsi"/>
                <w:sz w:val="20"/>
                <w:szCs w:val="20"/>
                <w:lang w:eastAsia="en-US"/>
              </w:rPr>
              <w:t xml:space="preserve"> </w:t>
            </w:r>
            <w:r>
              <w:rPr>
                <w:rFonts w:eastAsiaTheme="minorHAnsi"/>
                <w:sz w:val="20"/>
                <w:szCs w:val="20"/>
                <w:lang w:eastAsia="en-US"/>
              </w:rPr>
              <w:t>Son objectif est de promouvoir l’amélioration continue de la qualité des soins par une ‘‘culture positive de l’erreur’’,</w:t>
            </w:r>
            <w:r w:rsidR="00BD5B9E">
              <w:rPr>
                <w:rFonts w:eastAsiaTheme="minorHAnsi"/>
                <w:sz w:val="20"/>
                <w:szCs w:val="20"/>
                <w:lang w:eastAsia="en-US"/>
              </w:rPr>
              <w:t xml:space="preserve"> </w:t>
            </w:r>
            <w:r>
              <w:rPr>
                <w:rFonts w:eastAsiaTheme="minorHAnsi"/>
                <w:sz w:val="20"/>
                <w:szCs w:val="20"/>
                <w:lang w:eastAsia="en-US"/>
              </w:rPr>
              <w:t>qui passe par la déclaration et l’analyse systématiques des incidents et effets indésirables de la chaine</w:t>
            </w:r>
            <w:r w:rsidR="00BD5B9E">
              <w:rPr>
                <w:rFonts w:eastAsiaTheme="minorHAnsi"/>
                <w:sz w:val="20"/>
                <w:szCs w:val="20"/>
                <w:lang w:eastAsia="en-US"/>
              </w:rPr>
              <w:t xml:space="preserve"> </w:t>
            </w:r>
            <w:r>
              <w:rPr>
                <w:rFonts w:eastAsiaTheme="minorHAnsi"/>
                <w:sz w:val="20"/>
                <w:szCs w:val="20"/>
                <w:lang w:eastAsia="en-US"/>
              </w:rPr>
              <w:t>transfusionnelle.</w:t>
            </w:r>
          </w:p>
          <w:p w:rsidR="000150E9" w:rsidRDefault="000150E9" w:rsidP="00BD5B9E">
            <w:pPr>
              <w:autoSpaceDE w:val="0"/>
              <w:autoSpaceDN w:val="0"/>
              <w:adjustRightInd w:val="0"/>
              <w:spacing w:before="120" w:after="120"/>
              <w:jc w:val="left"/>
              <w:rPr>
                <w:rFonts w:eastAsiaTheme="minorHAnsi"/>
                <w:sz w:val="20"/>
                <w:szCs w:val="20"/>
                <w:lang w:eastAsia="en-US"/>
              </w:rPr>
            </w:pPr>
            <w:r>
              <w:rPr>
                <w:rFonts w:eastAsiaTheme="minorHAnsi"/>
                <w:sz w:val="20"/>
                <w:szCs w:val="20"/>
                <w:lang w:eastAsia="en-US"/>
              </w:rPr>
              <w:t xml:space="preserve">Le </w:t>
            </w:r>
            <w:r w:rsidR="004557DC">
              <w:rPr>
                <w:rFonts w:eastAsiaTheme="minorHAnsi"/>
                <w:sz w:val="20"/>
                <w:szCs w:val="20"/>
                <w:lang w:eastAsia="en-US"/>
              </w:rPr>
              <w:t>CRHST</w:t>
            </w:r>
            <w:r>
              <w:rPr>
                <w:rFonts w:eastAsiaTheme="minorHAnsi"/>
                <w:sz w:val="20"/>
                <w:szCs w:val="20"/>
                <w:lang w:eastAsia="en-US"/>
              </w:rPr>
              <w:t xml:space="preserve"> est donc chargé :</w:t>
            </w:r>
          </w:p>
          <w:p w:rsidR="001B198A" w:rsidRDefault="000150E9" w:rsidP="001B198A">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1. de contrôler et de suivre les déclarations d’incidents graves de la chaine transfusionnelle (IG), les effets</w:t>
            </w:r>
            <w:r w:rsidR="00BD5B9E">
              <w:rPr>
                <w:rFonts w:eastAsiaTheme="minorHAnsi"/>
                <w:sz w:val="20"/>
                <w:szCs w:val="20"/>
                <w:lang w:eastAsia="en-US"/>
              </w:rPr>
              <w:t xml:space="preserve"> </w:t>
            </w:r>
            <w:r>
              <w:rPr>
                <w:rFonts w:eastAsiaTheme="minorHAnsi"/>
                <w:sz w:val="20"/>
                <w:szCs w:val="20"/>
                <w:lang w:eastAsia="en-US"/>
              </w:rPr>
              <w:t>indésirables survenus sur les receveurs de pro</w:t>
            </w:r>
            <w:r w:rsidR="001B198A">
              <w:rPr>
                <w:rFonts w:eastAsiaTheme="minorHAnsi"/>
                <w:sz w:val="20"/>
                <w:szCs w:val="20"/>
                <w:lang w:eastAsia="en-US"/>
              </w:rPr>
              <w:t xml:space="preserve">duits sanguins labiles (EIR) </w:t>
            </w:r>
            <w:r>
              <w:rPr>
                <w:rFonts w:eastAsiaTheme="minorHAnsi"/>
                <w:sz w:val="20"/>
                <w:szCs w:val="20"/>
                <w:lang w:eastAsia="en-US"/>
              </w:rPr>
              <w:t>sur les donneurs de sang</w:t>
            </w:r>
            <w:r w:rsidR="00BD5B9E">
              <w:rPr>
                <w:rFonts w:eastAsiaTheme="minorHAnsi"/>
                <w:sz w:val="20"/>
                <w:szCs w:val="20"/>
                <w:lang w:eastAsia="en-US"/>
              </w:rPr>
              <w:t xml:space="preserve"> </w:t>
            </w:r>
            <w:r>
              <w:rPr>
                <w:rFonts w:eastAsiaTheme="minorHAnsi"/>
                <w:sz w:val="20"/>
                <w:szCs w:val="20"/>
                <w:lang w:eastAsia="en-US"/>
              </w:rPr>
              <w:t>(EID),</w:t>
            </w:r>
            <w:r w:rsidR="001B198A">
              <w:rPr>
                <w:rFonts w:eastAsiaTheme="minorHAnsi"/>
                <w:sz w:val="20"/>
                <w:szCs w:val="20"/>
                <w:lang w:eastAsia="en-US"/>
              </w:rPr>
              <w:t xml:space="preserve"> et sur les Informations Post Dons (IPD).</w:t>
            </w:r>
          </w:p>
          <w:p w:rsidR="000150E9" w:rsidRDefault="000150E9" w:rsidP="00BD5B9E">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2. d’entretenir des relations directes avec chacun des correspondants d’hémovigilance (CHV) des</w:t>
            </w:r>
            <w:r w:rsidR="00BD5B9E">
              <w:rPr>
                <w:rFonts w:eastAsiaTheme="minorHAnsi"/>
                <w:sz w:val="20"/>
                <w:szCs w:val="20"/>
                <w:lang w:eastAsia="en-US"/>
              </w:rPr>
              <w:t xml:space="preserve"> </w:t>
            </w:r>
            <w:r>
              <w:rPr>
                <w:rFonts w:eastAsiaTheme="minorHAnsi"/>
                <w:sz w:val="20"/>
                <w:szCs w:val="20"/>
                <w:lang w:eastAsia="en-US"/>
              </w:rPr>
              <w:t xml:space="preserve">établissements de santé et de transfusion sanguine, de suivre la mise en </w:t>
            </w:r>
            <w:r w:rsidR="00BD5B9E">
              <w:rPr>
                <w:rFonts w:eastAsiaTheme="minorHAnsi"/>
                <w:sz w:val="20"/>
                <w:szCs w:val="20"/>
                <w:lang w:eastAsia="en-US"/>
              </w:rPr>
              <w:t>œuvre</w:t>
            </w:r>
            <w:r>
              <w:rPr>
                <w:rFonts w:eastAsiaTheme="minorHAnsi"/>
                <w:sz w:val="20"/>
                <w:szCs w:val="20"/>
                <w:lang w:eastAsia="en-US"/>
              </w:rPr>
              <w:t xml:space="preserve"> des dispositions</w:t>
            </w:r>
            <w:r w:rsidR="00BD5B9E">
              <w:rPr>
                <w:rFonts w:eastAsiaTheme="minorHAnsi"/>
                <w:sz w:val="20"/>
                <w:szCs w:val="20"/>
                <w:lang w:eastAsia="en-US"/>
              </w:rPr>
              <w:t xml:space="preserve"> </w:t>
            </w:r>
            <w:r>
              <w:rPr>
                <w:rFonts w:eastAsiaTheme="minorHAnsi"/>
                <w:sz w:val="20"/>
                <w:szCs w:val="20"/>
                <w:lang w:eastAsia="en-US"/>
              </w:rPr>
              <w:t>réglementaires et de veiller à la qualité et à la fiabilité des informations recueillies,</w:t>
            </w:r>
          </w:p>
          <w:p w:rsidR="000150E9" w:rsidRDefault="000150E9" w:rsidP="00BD5B9E">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3. de se tenir informé de toute difficulté. Il assiste de droit aux séances du CSTH des établissements de</w:t>
            </w:r>
            <w:r w:rsidR="00BD5B9E">
              <w:rPr>
                <w:rFonts w:eastAsiaTheme="minorHAnsi"/>
                <w:sz w:val="20"/>
                <w:szCs w:val="20"/>
                <w:lang w:eastAsia="en-US"/>
              </w:rPr>
              <w:t xml:space="preserve"> </w:t>
            </w:r>
            <w:r>
              <w:rPr>
                <w:rFonts w:eastAsiaTheme="minorHAnsi"/>
                <w:sz w:val="20"/>
                <w:szCs w:val="20"/>
                <w:lang w:eastAsia="en-US"/>
              </w:rPr>
              <w:t>santé publics et privés,</w:t>
            </w:r>
          </w:p>
          <w:p w:rsidR="000150E9" w:rsidRDefault="000150E9" w:rsidP="00BD5B9E">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4. d’animer le réseau régional d’hémovigilance (CHV ES et ETS, CSTH) et d’en informer les membres. Il</w:t>
            </w:r>
            <w:r w:rsidR="00BD5B9E">
              <w:rPr>
                <w:rFonts w:eastAsiaTheme="minorHAnsi"/>
                <w:sz w:val="20"/>
                <w:szCs w:val="20"/>
                <w:lang w:eastAsia="en-US"/>
              </w:rPr>
              <w:t xml:space="preserve"> </w:t>
            </w:r>
            <w:r>
              <w:rPr>
                <w:rFonts w:eastAsiaTheme="minorHAnsi"/>
                <w:sz w:val="20"/>
                <w:szCs w:val="20"/>
                <w:lang w:eastAsia="en-US"/>
              </w:rPr>
              <w:t>peut les réunir et participer à leur formation,</w:t>
            </w:r>
          </w:p>
          <w:p w:rsidR="00BD5B9E" w:rsidRDefault="000150E9" w:rsidP="00BD5B9E">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5. d’assister les Cellule Assurance-Qualité/ Gestion des Risques (en particulier au sein des ES) dans leur</w:t>
            </w:r>
            <w:r w:rsidR="00BD5B9E">
              <w:rPr>
                <w:rFonts w:eastAsiaTheme="minorHAnsi"/>
                <w:sz w:val="20"/>
                <w:szCs w:val="20"/>
                <w:lang w:eastAsia="en-US"/>
              </w:rPr>
              <w:t xml:space="preserve"> </w:t>
            </w:r>
            <w:r>
              <w:rPr>
                <w:rFonts w:eastAsiaTheme="minorHAnsi"/>
                <w:sz w:val="20"/>
                <w:szCs w:val="20"/>
                <w:lang w:eastAsia="en-US"/>
              </w:rPr>
              <w:t>démarche d’analyse des causes racines (ACR) d’incidents graves de la chaine transfusionnelle,</w:t>
            </w:r>
          </w:p>
          <w:p w:rsidR="000150E9" w:rsidRDefault="000150E9" w:rsidP="00BD5B9E">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 xml:space="preserve">6. de suivre la mise en </w:t>
            </w:r>
            <w:r w:rsidR="00AF3109">
              <w:rPr>
                <w:rFonts w:eastAsiaTheme="minorHAnsi"/>
                <w:sz w:val="20"/>
                <w:szCs w:val="20"/>
                <w:lang w:eastAsia="en-US"/>
              </w:rPr>
              <w:t>œuvre</w:t>
            </w:r>
            <w:r>
              <w:rPr>
                <w:rFonts w:eastAsiaTheme="minorHAnsi"/>
                <w:sz w:val="20"/>
                <w:szCs w:val="20"/>
                <w:lang w:eastAsia="en-US"/>
              </w:rPr>
              <w:t xml:space="preserve"> de l’informatisation de la traçabilité des produits sanguins labiles, des</w:t>
            </w:r>
            <w:r w:rsidR="00BD5B9E">
              <w:rPr>
                <w:rFonts w:eastAsiaTheme="minorHAnsi"/>
                <w:sz w:val="20"/>
                <w:szCs w:val="20"/>
                <w:lang w:eastAsia="en-US"/>
              </w:rPr>
              <w:t xml:space="preserve"> </w:t>
            </w:r>
            <w:r>
              <w:rPr>
                <w:rFonts w:eastAsiaTheme="minorHAnsi"/>
                <w:sz w:val="20"/>
                <w:szCs w:val="20"/>
                <w:lang w:eastAsia="en-US"/>
              </w:rPr>
              <w:t>échanges de données informatisées,</w:t>
            </w:r>
          </w:p>
          <w:p w:rsidR="000150E9" w:rsidRDefault="000150E9" w:rsidP="00BD5B9E">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7. de participer à l’élaboration du Schéma d’Organisation de la Transfusion Sanguine (SOTS) et de veiller à</w:t>
            </w:r>
            <w:r w:rsidR="00BD5B9E">
              <w:rPr>
                <w:rFonts w:eastAsiaTheme="minorHAnsi"/>
                <w:sz w:val="20"/>
                <w:szCs w:val="20"/>
                <w:lang w:eastAsia="en-US"/>
              </w:rPr>
              <w:t xml:space="preserve"> </w:t>
            </w:r>
            <w:r>
              <w:rPr>
                <w:rFonts w:eastAsiaTheme="minorHAnsi"/>
                <w:sz w:val="20"/>
                <w:szCs w:val="20"/>
                <w:lang w:eastAsia="en-US"/>
              </w:rPr>
              <w:t>sa cohérence avec le SROS,</w:t>
            </w:r>
          </w:p>
          <w:p w:rsidR="000150E9" w:rsidRDefault="000150E9" w:rsidP="00BD5B9E">
            <w:pPr>
              <w:autoSpaceDE w:val="0"/>
              <w:autoSpaceDN w:val="0"/>
              <w:adjustRightInd w:val="0"/>
              <w:spacing w:after="60"/>
              <w:jc w:val="left"/>
              <w:rPr>
                <w:rFonts w:eastAsiaTheme="minorHAnsi"/>
                <w:sz w:val="20"/>
                <w:szCs w:val="20"/>
                <w:lang w:eastAsia="en-US"/>
              </w:rPr>
            </w:pPr>
            <w:r>
              <w:rPr>
                <w:rFonts w:eastAsiaTheme="minorHAnsi"/>
                <w:sz w:val="20"/>
                <w:szCs w:val="20"/>
                <w:lang w:eastAsia="en-US"/>
              </w:rPr>
              <w:t>8. de l’instruction des dossiers de demande d’autorisation de dépôt de sang et de suivi de ces dépôts.</w:t>
            </w:r>
          </w:p>
          <w:p w:rsidR="000150E9" w:rsidRDefault="000150E9" w:rsidP="000150E9">
            <w:pPr>
              <w:autoSpaceDE w:val="0"/>
              <w:autoSpaceDN w:val="0"/>
              <w:adjustRightInd w:val="0"/>
              <w:jc w:val="left"/>
              <w:rPr>
                <w:rFonts w:eastAsiaTheme="minorHAnsi"/>
                <w:sz w:val="20"/>
                <w:szCs w:val="20"/>
                <w:lang w:eastAsia="en-US"/>
              </w:rPr>
            </w:pPr>
          </w:p>
          <w:p w:rsidR="00BD5B9E" w:rsidRDefault="00BD5B9E" w:rsidP="000150E9">
            <w:pPr>
              <w:autoSpaceDE w:val="0"/>
              <w:autoSpaceDN w:val="0"/>
              <w:adjustRightInd w:val="0"/>
              <w:jc w:val="left"/>
              <w:rPr>
                <w:rFonts w:eastAsiaTheme="minorHAnsi"/>
                <w:sz w:val="20"/>
                <w:szCs w:val="20"/>
                <w:lang w:eastAsia="en-US"/>
              </w:rPr>
            </w:pPr>
            <w:r>
              <w:rPr>
                <w:rFonts w:eastAsiaTheme="minorHAnsi"/>
                <w:sz w:val="20"/>
                <w:szCs w:val="20"/>
                <w:lang w:eastAsia="en-US"/>
              </w:rPr>
              <w:t>De plus,</w:t>
            </w:r>
          </w:p>
          <w:p w:rsidR="000150E9" w:rsidRPr="00BD5B9E" w:rsidRDefault="000150E9" w:rsidP="00BD5B9E">
            <w:pPr>
              <w:pStyle w:val="Paragraphedeliste"/>
              <w:numPr>
                <w:ilvl w:val="0"/>
                <w:numId w:val="41"/>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Le CRH</w:t>
            </w:r>
            <w:r w:rsidR="00F52473">
              <w:rPr>
                <w:rFonts w:eastAsiaTheme="minorHAnsi"/>
                <w:sz w:val="20"/>
                <w:szCs w:val="20"/>
                <w:lang w:eastAsia="en-US"/>
              </w:rPr>
              <w:t>ST</w:t>
            </w:r>
            <w:r w:rsidRPr="00BD5B9E">
              <w:rPr>
                <w:rFonts w:eastAsiaTheme="minorHAnsi"/>
                <w:sz w:val="20"/>
                <w:szCs w:val="20"/>
                <w:lang w:eastAsia="en-US"/>
              </w:rPr>
              <w:t xml:space="preserve"> assiste, à titre d’expert, le corps des inspecteurs lors des missions d’inspection ou de contrôle des dépôts</w:t>
            </w:r>
            <w:r w:rsidR="00BD5B9E">
              <w:rPr>
                <w:rFonts w:eastAsiaTheme="minorHAnsi"/>
                <w:sz w:val="20"/>
                <w:szCs w:val="20"/>
                <w:lang w:eastAsia="en-US"/>
              </w:rPr>
              <w:t xml:space="preserve"> </w:t>
            </w:r>
            <w:r w:rsidRPr="00BD5B9E">
              <w:rPr>
                <w:rFonts w:eastAsiaTheme="minorHAnsi"/>
                <w:sz w:val="20"/>
                <w:szCs w:val="20"/>
                <w:lang w:eastAsia="en-US"/>
              </w:rPr>
              <w:t>de sang dans leur activité transfusionnelle, notamment</w:t>
            </w:r>
            <w:r w:rsidR="00BD5B9E" w:rsidRPr="00BD5B9E">
              <w:rPr>
                <w:rFonts w:eastAsiaTheme="minorHAnsi"/>
                <w:sz w:val="20"/>
                <w:szCs w:val="20"/>
                <w:lang w:eastAsia="en-US"/>
              </w:rPr>
              <w:t xml:space="preserve"> </w:t>
            </w:r>
            <w:r w:rsidRPr="00BD5B9E">
              <w:rPr>
                <w:rFonts w:eastAsiaTheme="minorHAnsi"/>
                <w:sz w:val="20"/>
                <w:szCs w:val="20"/>
                <w:lang w:eastAsia="en-US"/>
              </w:rPr>
              <w:t>d’</w:t>
            </w:r>
            <w:proofErr w:type="spellStart"/>
            <w:r w:rsidRPr="00BD5B9E">
              <w:rPr>
                <w:rFonts w:eastAsiaTheme="minorHAnsi"/>
                <w:sz w:val="20"/>
                <w:szCs w:val="20"/>
                <w:lang w:eastAsia="en-US"/>
              </w:rPr>
              <w:t>Immuno-Hématologie</w:t>
            </w:r>
            <w:proofErr w:type="spellEnd"/>
            <w:r w:rsidRPr="00BD5B9E">
              <w:rPr>
                <w:rFonts w:eastAsiaTheme="minorHAnsi"/>
                <w:sz w:val="20"/>
                <w:szCs w:val="20"/>
                <w:lang w:eastAsia="en-US"/>
              </w:rPr>
              <w:t xml:space="preserve"> Receveurs (IHR).</w:t>
            </w:r>
          </w:p>
          <w:p w:rsidR="000150E9" w:rsidRPr="00BD5B9E" w:rsidRDefault="000150E9" w:rsidP="00BD5B9E">
            <w:pPr>
              <w:pStyle w:val="Paragraphedeliste"/>
              <w:numPr>
                <w:ilvl w:val="0"/>
                <w:numId w:val="41"/>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Il est connecté aux réseaux nationaux (e-FIT, Base CRH).</w:t>
            </w:r>
          </w:p>
          <w:p w:rsidR="000150E9" w:rsidRDefault="000150E9" w:rsidP="00BD5B9E">
            <w:pPr>
              <w:pStyle w:val="Paragraphedeliste"/>
              <w:numPr>
                <w:ilvl w:val="0"/>
                <w:numId w:val="41"/>
              </w:numPr>
              <w:autoSpaceDE w:val="0"/>
              <w:autoSpaceDN w:val="0"/>
              <w:adjustRightInd w:val="0"/>
              <w:spacing w:after="60"/>
              <w:ind w:left="357" w:hanging="357"/>
              <w:contextualSpacing w:val="0"/>
              <w:jc w:val="left"/>
              <w:rPr>
                <w:rFonts w:eastAsiaTheme="minorHAnsi"/>
                <w:sz w:val="20"/>
                <w:szCs w:val="20"/>
                <w:lang w:eastAsia="en-US"/>
              </w:rPr>
            </w:pPr>
            <w:r w:rsidRPr="00BD5B9E">
              <w:rPr>
                <w:rFonts w:eastAsiaTheme="minorHAnsi"/>
                <w:sz w:val="20"/>
                <w:szCs w:val="20"/>
                <w:lang w:eastAsia="en-US"/>
              </w:rPr>
              <w:t>Il participe aux réunions nationales de l’</w:t>
            </w:r>
            <w:r w:rsidR="00095838">
              <w:rPr>
                <w:rFonts w:eastAsiaTheme="minorHAnsi"/>
                <w:sz w:val="20"/>
                <w:szCs w:val="20"/>
                <w:lang w:eastAsia="en-US"/>
              </w:rPr>
              <w:t>ANSM</w:t>
            </w:r>
            <w:r w:rsidRPr="00BD5B9E">
              <w:rPr>
                <w:rFonts w:eastAsiaTheme="minorHAnsi"/>
                <w:sz w:val="20"/>
                <w:szCs w:val="20"/>
                <w:lang w:eastAsia="en-US"/>
              </w:rPr>
              <w:t xml:space="preserve"> et de la Conférence Nationale des </w:t>
            </w:r>
            <w:r w:rsidR="004557DC">
              <w:rPr>
                <w:rFonts w:eastAsiaTheme="minorHAnsi"/>
                <w:sz w:val="20"/>
                <w:szCs w:val="20"/>
                <w:lang w:eastAsia="en-US"/>
              </w:rPr>
              <w:t>CRHST</w:t>
            </w:r>
            <w:r w:rsidRPr="00BD5B9E">
              <w:rPr>
                <w:rFonts w:eastAsiaTheme="minorHAnsi"/>
                <w:sz w:val="20"/>
                <w:szCs w:val="20"/>
                <w:lang w:eastAsia="en-US"/>
              </w:rPr>
              <w:t xml:space="preserve"> et à leurs groupes de</w:t>
            </w:r>
            <w:r w:rsidR="00BD5B9E">
              <w:rPr>
                <w:rFonts w:eastAsiaTheme="minorHAnsi"/>
                <w:sz w:val="20"/>
                <w:szCs w:val="20"/>
                <w:lang w:eastAsia="en-US"/>
              </w:rPr>
              <w:t xml:space="preserve"> </w:t>
            </w:r>
            <w:r w:rsidRPr="00BD5B9E">
              <w:rPr>
                <w:rFonts w:eastAsiaTheme="minorHAnsi"/>
                <w:sz w:val="20"/>
                <w:szCs w:val="20"/>
                <w:lang w:eastAsia="en-US"/>
              </w:rPr>
              <w:t>travail.</w:t>
            </w:r>
          </w:p>
          <w:p w:rsidR="00DD31E6" w:rsidRPr="00BD5B9E" w:rsidRDefault="00DD31E6" w:rsidP="00BD5B9E">
            <w:pPr>
              <w:pStyle w:val="Paragraphedeliste"/>
              <w:numPr>
                <w:ilvl w:val="0"/>
                <w:numId w:val="41"/>
              </w:numPr>
              <w:autoSpaceDE w:val="0"/>
              <w:autoSpaceDN w:val="0"/>
              <w:adjustRightInd w:val="0"/>
              <w:spacing w:after="60"/>
              <w:ind w:left="357" w:hanging="357"/>
              <w:contextualSpacing w:val="0"/>
              <w:jc w:val="left"/>
              <w:rPr>
                <w:rFonts w:eastAsiaTheme="minorHAnsi"/>
                <w:sz w:val="20"/>
                <w:szCs w:val="20"/>
                <w:lang w:eastAsia="en-US"/>
              </w:rPr>
            </w:pPr>
            <w:r>
              <w:rPr>
                <w:rFonts w:eastAsiaTheme="minorHAnsi"/>
                <w:sz w:val="20"/>
                <w:szCs w:val="20"/>
                <w:lang w:eastAsia="en-US"/>
              </w:rPr>
              <w:t>Il est membre du Réseau régional de Vigilance et d’appui et participe à la réunion régionale de sécurité sanitaire</w:t>
            </w:r>
          </w:p>
          <w:p w:rsidR="00274325" w:rsidRPr="00BD5B9E" w:rsidRDefault="000150E9" w:rsidP="00BD5B9E">
            <w:pPr>
              <w:pStyle w:val="Paragraphedeliste"/>
              <w:numPr>
                <w:ilvl w:val="0"/>
                <w:numId w:val="41"/>
              </w:numPr>
              <w:spacing w:after="60"/>
              <w:ind w:left="357" w:hanging="357"/>
              <w:contextualSpacing w:val="0"/>
              <w:rPr>
                <w:rFonts w:ascii="Times New Roman" w:hAnsi="Times New Roman" w:cs="Times New Roman"/>
              </w:rPr>
            </w:pPr>
            <w:r w:rsidRPr="00BD5B9E">
              <w:rPr>
                <w:rFonts w:eastAsiaTheme="minorHAnsi"/>
                <w:sz w:val="20"/>
                <w:szCs w:val="20"/>
                <w:lang w:eastAsia="en-US"/>
              </w:rPr>
              <w:t>Il peut participer à des enseignements ou activités de formation.</w:t>
            </w:r>
          </w:p>
          <w:p w:rsidR="00DD31E6" w:rsidRPr="00BC2B17" w:rsidRDefault="00DD31E6" w:rsidP="00BC2B17">
            <w:pPr>
              <w:rPr>
                <w:rFonts w:ascii="Times New Roman" w:hAnsi="Times New Roman" w:cs="Times New Roman"/>
                <w:b/>
                <w:i/>
              </w:rPr>
            </w:pPr>
          </w:p>
        </w:tc>
      </w:tr>
      <w:tr w:rsidR="00650919" w:rsidRPr="006A6DAB" w:rsidTr="00E53AB2">
        <w:trPr>
          <w:trHeight w:val="6740"/>
        </w:trPr>
        <w:tc>
          <w:tcPr>
            <w:tcW w:w="10774" w:type="dxa"/>
            <w:tcBorders>
              <w:top w:val="single" w:sz="2" w:space="0" w:color="auto"/>
              <w:left w:val="single" w:sz="2" w:space="0" w:color="auto"/>
              <w:bottom w:val="single" w:sz="2" w:space="0" w:color="auto"/>
              <w:right w:val="single" w:sz="2" w:space="0" w:color="auto"/>
            </w:tcBorders>
            <w:shd w:val="clear" w:color="auto" w:fill="auto"/>
          </w:tcPr>
          <w:p w:rsidR="004E29E3" w:rsidRPr="007D6EE7" w:rsidRDefault="004E29E3" w:rsidP="004E29E3">
            <w:pPr>
              <w:pBdr>
                <w:top w:val="single" w:sz="2" w:space="1" w:color="auto"/>
                <w:left w:val="single" w:sz="2" w:space="4" w:color="auto"/>
                <w:bottom w:val="single" w:sz="2" w:space="1" w:color="auto"/>
                <w:right w:val="single" w:sz="2" w:space="4" w:color="auto"/>
              </w:pBdr>
              <w:shd w:val="clear" w:color="auto" w:fill="D9D9D9" w:themeFill="background1" w:themeFillShade="D9"/>
              <w:jc w:val="center"/>
              <w:rPr>
                <w:rFonts w:ascii="Times New Roman" w:hAnsi="Times New Roman" w:cs="Times New Roman"/>
                <w:b/>
                <w:bCs/>
                <w:color w:val="365F91" w:themeColor="accent1" w:themeShade="BF"/>
              </w:rPr>
            </w:pPr>
          </w:p>
          <w:p w:rsidR="00F71EBD" w:rsidRDefault="00423EDC" w:rsidP="004E29E3">
            <w:pPr>
              <w:pBdr>
                <w:top w:val="single" w:sz="2" w:space="1" w:color="auto"/>
                <w:left w:val="single" w:sz="2" w:space="4" w:color="auto"/>
                <w:bottom w:val="single" w:sz="2" w:space="1" w:color="auto"/>
                <w:right w:val="single" w:sz="2" w:space="4" w:color="auto"/>
              </w:pBdr>
              <w:shd w:val="clear" w:color="auto" w:fill="D9D9D9" w:themeFill="background1" w:themeFillShade="D9"/>
              <w:jc w:val="center"/>
              <w:rPr>
                <w:rFonts w:ascii="Times New Roman" w:hAnsi="Times New Roman" w:cs="Times New Roman"/>
                <w:b/>
                <w:bCs/>
                <w:color w:val="659B29"/>
              </w:rPr>
            </w:pPr>
            <w:r w:rsidRPr="003067AC">
              <w:rPr>
                <w:rFonts w:ascii="Times New Roman" w:hAnsi="Times New Roman" w:cs="Times New Roman"/>
                <w:b/>
                <w:bCs/>
                <w:color w:val="659B29"/>
              </w:rPr>
              <w:t>S</w:t>
            </w:r>
            <w:r w:rsidR="00BE43FC" w:rsidRPr="003067AC">
              <w:rPr>
                <w:rFonts w:ascii="Times New Roman" w:hAnsi="Times New Roman" w:cs="Times New Roman"/>
                <w:b/>
                <w:bCs/>
                <w:color w:val="659B29"/>
              </w:rPr>
              <w:t>OCLE DE COMPETENCES ATTENDUES</w:t>
            </w:r>
          </w:p>
          <w:p w:rsidR="00BC2B17" w:rsidRPr="003067AC" w:rsidRDefault="00BC2B17" w:rsidP="004E29E3">
            <w:pPr>
              <w:pBdr>
                <w:top w:val="single" w:sz="2" w:space="1" w:color="auto"/>
                <w:left w:val="single" w:sz="2" w:space="4" w:color="auto"/>
                <w:bottom w:val="single" w:sz="2" w:space="1" w:color="auto"/>
                <w:right w:val="single" w:sz="2" w:space="4" w:color="auto"/>
              </w:pBdr>
              <w:shd w:val="clear" w:color="auto" w:fill="D9D9D9" w:themeFill="background1" w:themeFillShade="D9"/>
              <w:jc w:val="center"/>
              <w:rPr>
                <w:rFonts w:ascii="Times New Roman" w:hAnsi="Times New Roman" w:cs="Times New Roman"/>
                <w:color w:val="659B29"/>
              </w:rPr>
            </w:pPr>
          </w:p>
          <w:p w:rsidR="009500D6" w:rsidRDefault="009500D6" w:rsidP="009500D6">
            <w:pPr>
              <w:rPr>
                <w:rFonts w:ascii="Times New Roman" w:hAnsi="Times New Roman" w:cs="Times New Roman"/>
                <w:b/>
                <w:bCs/>
                <w:sz w:val="20"/>
                <w:szCs w:val="20"/>
              </w:rPr>
            </w:pPr>
          </w:p>
          <w:p w:rsidR="006C22A9" w:rsidRDefault="009500D6" w:rsidP="006C22A9">
            <w:pPr>
              <w:rPr>
                <w:rFonts w:ascii="Times New Roman" w:hAnsi="Times New Roman" w:cs="Times New Roman"/>
                <w:sz w:val="20"/>
                <w:szCs w:val="20"/>
              </w:rPr>
            </w:pPr>
            <w:r>
              <w:rPr>
                <w:rFonts w:ascii="Times New Roman" w:hAnsi="Times New Roman" w:cs="Times New Roman"/>
                <w:b/>
                <w:bCs/>
                <w:sz w:val="20"/>
                <w:szCs w:val="20"/>
              </w:rPr>
              <w:t>E : expert / M : maitrise / P : pratique / I : initié</w:t>
            </w:r>
            <w:r>
              <w:rPr>
                <w:rFonts w:ascii="Times New Roman" w:hAnsi="Times New Roman" w:cs="Times New Roman"/>
                <w:bCs/>
                <w:color w:val="0000FF"/>
                <w:sz w:val="20"/>
                <w:szCs w:val="20"/>
              </w:rPr>
              <w:t xml:space="preserve">   </w:t>
            </w:r>
            <w:r>
              <w:rPr>
                <w:rFonts w:ascii="Arial Black" w:hAnsi="Arial Black"/>
                <w:b/>
                <w:sz w:val="20"/>
                <w:szCs w:val="20"/>
              </w:rPr>
              <w:t xml:space="preserve"> </w:t>
            </w:r>
            <w:r>
              <w:rPr>
                <w:rFonts w:ascii="Times New Roman" w:hAnsi="Times New Roman" w:cs="Times New Roman"/>
                <w:bCs/>
                <w:color w:val="0000FF"/>
                <w:sz w:val="20"/>
                <w:szCs w:val="20"/>
              </w:rPr>
              <w:t xml:space="preserve"> </w:t>
            </w:r>
          </w:p>
          <w:tbl>
            <w:tblPr>
              <w:tblW w:w="10066"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679"/>
              <w:gridCol w:w="787"/>
              <w:gridCol w:w="3913"/>
              <w:gridCol w:w="709"/>
              <w:gridCol w:w="709"/>
              <w:gridCol w:w="709"/>
              <w:gridCol w:w="708"/>
            </w:tblGrid>
            <w:tr w:rsidR="00865312" w:rsidRPr="006A6DAB" w:rsidTr="00E150C4">
              <w:trPr>
                <w:trHeight w:val="59"/>
              </w:trPr>
              <w:tc>
                <w:tcPr>
                  <w:tcW w:w="852" w:type="dxa"/>
                  <w:vMerge w:val="restart"/>
                  <w:tcBorders>
                    <w:top w:val="single" w:sz="2" w:space="0" w:color="auto"/>
                    <w:left w:val="single" w:sz="2" w:space="0" w:color="auto"/>
                    <w:right w:val="nil"/>
                  </w:tcBorders>
                  <w:shd w:val="clear" w:color="auto" w:fill="F2F2F2" w:themeFill="background1" w:themeFillShade="F2"/>
                  <w:textDirection w:val="btLr"/>
                </w:tcPr>
                <w:p w:rsidR="00865312" w:rsidRPr="00A47817" w:rsidRDefault="00865312" w:rsidP="00423EDC">
                  <w:pPr>
                    <w:ind w:left="113" w:right="113"/>
                    <w:rPr>
                      <w:rFonts w:ascii="Times New Roman" w:hAnsi="Times New Roman" w:cs="Times New Roman"/>
                    </w:rPr>
                  </w:pPr>
                  <w:r w:rsidRPr="00A47817">
                    <w:rPr>
                      <w:rFonts w:ascii="Arial Black" w:hAnsi="Arial Black"/>
                    </w:rPr>
                    <w:t>connaissances</w:t>
                  </w:r>
                </w:p>
              </w:tc>
              <w:tc>
                <w:tcPr>
                  <w:tcW w:w="2466" w:type="dxa"/>
                  <w:gridSpan w:val="2"/>
                  <w:tcBorders>
                    <w:top w:val="single" w:sz="2" w:space="0" w:color="auto"/>
                    <w:bottom w:val="nil"/>
                    <w:right w:val="nil"/>
                  </w:tcBorders>
                </w:tcPr>
                <w:p w:rsidR="00865312" w:rsidRPr="00A47817" w:rsidRDefault="00865312" w:rsidP="006C22A9">
                  <w:pPr>
                    <w:rPr>
                      <w:rFonts w:ascii="Times New Roman" w:hAnsi="Times New Roman" w:cs="Times New Roman"/>
                      <w:sz w:val="20"/>
                      <w:szCs w:val="20"/>
                    </w:rPr>
                  </w:pPr>
                </w:p>
              </w:tc>
              <w:tc>
                <w:tcPr>
                  <w:tcW w:w="6748" w:type="dxa"/>
                  <w:gridSpan w:val="5"/>
                  <w:tcBorders>
                    <w:top w:val="single" w:sz="2" w:space="0" w:color="auto"/>
                    <w:left w:val="nil"/>
                    <w:bottom w:val="nil"/>
                    <w:right w:val="single" w:sz="2" w:space="0" w:color="auto"/>
                  </w:tcBorders>
                </w:tcPr>
                <w:p w:rsidR="00865312" w:rsidRPr="00A47817" w:rsidRDefault="00865312" w:rsidP="006C22A9">
                  <w:pPr>
                    <w:ind w:left="-394"/>
                    <w:jc w:val="center"/>
                    <w:rPr>
                      <w:rFonts w:ascii="Times New Roman" w:hAnsi="Times New Roman" w:cs="Times New Roman"/>
                      <w:sz w:val="20"/>
                      <w:szCs w:val="20"/>
                    </w:rPr>
                  </w:pPr>
                  <w:r w:rsidRPr="00A47817">
                    <w:rPr>
                      <w:rFonts w:ascii="Times New Roman" w:hAnsi="Times New Roman" w:cs="Times New Roman"/>
                      <w:sz w:val="20"/>
                      <w:szCs w:val="20"/>
                    </w:rPr>
                    <w:t xml:space="preserve">                                 </w:t>
                  </w:r>
                </w:p>
              </w:tc>
            </w:tr>
            <w:tr w:rsidR="00865312" w:rsidRPr="006A6DAB" w:rsidTr="00E150C4">
              <w:trPr>
                <w:trHeight w:val="67"/>
              </w:trPr>
              <w:tc>
                <w:tcPr>
                  <w:tcW w:w="852" w:type="dxa"/>
                  <w:vMerge/>
                  <w:tcBorders>
                    <w:left w:val="single" w:sz="2" w:space="0" w:color="auto"/>
                  </w:tcBorders>
                  <w:shd w:val="clear" w:color="auto" w:fill="F2F2F2" w:themeFill="background1" w:themeFillShade="F2"/>
                </w:tcPr>
                <w:p w:rsidR="00865312" w:rsidRPr="00A47817" w:rsidRDefault="00865312" w:rsidP="006C22A9">
                  <w:pPr>
                    <w:rPr>
                      <w:rFonts w:ascii="Arial Black" w:hAnsi="Arial Black"/>
                    </w:rPr>
                  </w:pPr>
                </w:p>
              </w:tc>
              <w:tc>
                <w:tcPr>
                  <w:tcW w:w="6379" w:type="dxa"/>
                  <w:gridSpan w:val="3"/>
                  <w:tcBorders>
                    <w:top w:val="nil"/>
                  </w:tcBorders>
                </w:tcPr>
                <w:p w:rsidR="00865312" w:rsidRPr="00A47817" w:rsidRDefault="00865312" w:rsidP="006C22A9">
                  <w:pPr>
                    <w:rPr>
                      <w:rFonts w:ascii="Arial Black" w:hAnsi="Arial Black"/>
                      <w:sz w:val="18"/>
                      <w:szCs w:val="18"/>
                    </w:rPr>
                  </w:pPr>
                </w:p>
              </w:tc>
              <w:tc>
                <w:tcPr>
                  <w:tcW w:w="709" w:type="dxa"/>
                  <w:tcBorders>
                    <w:top w:val="nil"/>
                  </w:tcBorders>
                </w:tcPr>
                <w:p w:rsidR="00865312" w:rsidRPr="006A6DAB" w:rsidRDefault="00865312" w:rsidP="006C22A9">
                  <w:pPr>
                    <w:jc w:val="center"/>
                    <w:rPr>
                      <w:rFonts w:ascii="Times New Roman" w:hAnsi="Times New Roman" w:cs="Times New Roman"/>
                      <w:b/>
                      <w:bCs/>
                      <w:sz w:val="20"/>
                      <w:szCs w:val="20"/>
                    </w:rPr>
                  </w:pPr>
                  <w:r w:rsidRPr="006A6DAB">
                    <w:rPr>
                      <w:rFonts w:ascii="Times New Roman" w:hAnsi="Times New Roman" w:cs="Times New Roman"/>
                      <w:b/>
                      <w:bCs/>
                      <w:sz w:val="20"/>
                      <w:szCs w:val="20"/>
                    </w:rPr>
                    <w:t>E</w:t>
                  </w:r>
                </w:p>
              </w:tc>
              <w:tc>
                <w:tcPr>
                  <w:tcW w:w="709" w:type="dxa"/>
                  <w:tcBorders>
                    <w:top w:val="nil"/>
                  </w:tcBorders>
                </w:tcPr>
                <w:p w:rsidR="00865312" w:rsidRPr="006A6DAB" w:rsidRDefault="00865312" w:rsidP="006C22A9">
                  <w:pPr>
                    <w:jc w:val="center"/>
                    <w:rPr>
                      <w:rFonts w:ascii="Times New Roman" w:hAnsi="Times New Roman" w:cs="Times New Roman"/>
                      <w:b/>
                      <w:bCs/>
                      <w:sz w:val="20"/>
                      <w:szCs w:val="20"/>
                    </w:rPr>
                  </w:pPr>
                  <w:r w:rsidRPr="006A6DAB">
                    <w:rPr>
                      <w:rFonts w:ascii="Times New Roman" w:hAnsi="Times New Roman" w:cs="Times New Roman"/>
                      <w:b/>
                      <w:bCs/>
                      <w:sz w:val="20"/>
                      <w:szCs w:val="20"/>
                    </w:rPr>
                    <w:t>M</w:t>
                  </w:r>
                </w:p>
              </w:tc>
              <w:tc>
                <w:tcPr>
                  <w:tcW w:w="709" w:type="dxa"/>
                  <w:tcBorders>
                    <w:top w:val="nil"/>
                  </w:tcBorders>
                </w:tcPr>
                <w:p w:rsidR="00865312" w:rsidRPr="006A6DAB" w:rsidRDefault="00865312" w:rsidP="006C22A9">
                  <w:pPr>
                    <w:jc w:val="center"/>
                    <w:rPr>
                      <w:rFonts w:ascii="Times New Roman" w:hAnsi="Times New Roman" w:cs="Times New Roman"/>
                      <w:b/>
                      <w:bCs/>
                      <w:sz w:val="20"/>
                      <w:szCs w:val="20"/>
                    </w:rPr>
                  </w:pPr>
                  <w:r>
                    <w:rPr>
                      <w:rFonts w:ascii="Times New Roman" w:hAnsi="Times New Roman" w:cs="Times New Roman"/>
                      <w:b/>
                      <w:bCs/>
                      <w:sz w:val="20"/>
                      <w:szCs w:val="20"/>
                    </w:rPr>
                    <w:t>P</w:t>
                  </w:r>
                </w:p>
              </w:tc>
              <w:tc>
                <w:tcPr>
                  <w:tcW w:w="708" w:type="dxa"/>
                  <w:tcBorders>
                    <w:top w:val="nil"/>
                    <w:right w:val="single" w:sz="2" w:space="0" w:color="auto"/>
                  </w:tcBorders>
                </w:tcPr>
                <w:p w:rsidR="00865312" w:rsidRPr="006A6DAB" w:rsidRDefault="00865312" w:rsidP="006C22A9">
                  <w:pPr>
                    <w:jc w:val="center"/>
                    <w:rPr>
                      <w:rFonts w:ascii="Times New Roman" w:hAnsi="Times New Roman" w:cs="Times New Roman"/>
                      <w:b/>
                      <w:bCs/>
                      <w:sz w:val="20"/>
                      <w:szCs w:val="20"/>
                    </w:rPr>
                  </w:pPr>
                  <w:r>
                    <w:rPr>
                      <w:rFonts w:ascii="Times New Roman" w:hAnsi="Times New Roman" w:cs="Times New Roman"/>
                      <w:b/>
                      <w:bCs/>
                      <w:sz w:val="20"/>
                      <w:szCs w:val="20"/>
                    </w:rPr>
                    <w:t>I</w:t>
                  </w:r>
                </w:p>
              </w:tc>
            </w:tr>
            <w:tr w:rsidR="00865312" w:rsidRPr="006A6DAB" w:rsidTr="000A27AB">
              <w:trPr>
                <w:trHeight w:val="261"/>
              </w:trPr>
              <w:tc>
                <w:tcPr>
                  <w:tcW w:w="852" w:type="dxa"/>
                  <w:vMerge/>
                  <w:tcBorders>
                    <w:left w:val="single" w:sz="2" w:space="0" w:color="auto"/>
                  </w:tcBorders>
                  <w:shd w:val="clear" w:color="auto" w:fill="F2F2F2" w:themeFill="background1" w:themeFillShade="F2"/>
                </w:tcPr>
                <w:p w:rsidR="00865312" w:rsidRPr="00A47817" w:rsidRDefault="00865312" w:rsidP="006C22A9">
                  <w:pPr>
                    <w:rPr>
                      <w:rFonts w:ascii="Times New Roman" w:hAnsi="Times New Roman" w:cs="Times New Roman"/>
                    </w:rPr>
                  </w:pPr>
                </w:p>
              </w:tc>
              <w:tc>
                <w:tcPr>
                  <w:tcW w:w="6379" w:type="dxa"/>
                  <w:gridSpan w:val="3"/>
                </w:tcPr>
                <w:p w:rsidR="00865312" w:rsidRPr="00865312" w:rsidRDefault="00865312" w:rsidP="00FE4A71">
                  <w:pPr>
                    <w:rPr>
                      <w:rFonts w:ascii="Times New Roman" w:hAnsi="Times New Roman" w:cs="Times New Roman"/>
                    </w:rPr>
                  </w:pPr>
                  <w:r w:rsidRPr="00865312">
                    <w:rPr>
                      <w:rFonts w:ascii="Times New Roman" w:hAnsi="Times New Roman" w:cs="Times New Roman"/>
                    </w:rPr>
                    <w:t>Connaissances techniques relatives au domaine de l’hémovigilance pouvant avoir un impact sur la santé des populations.</w:t>
                  </w:r>
                </w:p>
              </w:tc>
              <w:tc>
                <w:tcPr>
                  <w:tcW w:w="709" w:type="dxa"/>
                </w:tcPr>
                <w:p w:rsidR="00865312" w:rsidRPr="00C549F9" w:rsidRDefault="00865312" w:rsidP="005C1DF4">
                  <w:pPr>
                    <w:pStyle w:val="Paragraphedeliste"/>
                    <w:numPr>
                      <w:ilvl w:val="0"/>
                      <w:numId w:val="16"/>
                    </w:numPr>
                    <w:rPr>
                      <w:rFonts w:ascii="Times New Roman" w:hAnsi="Times New Roman" w:cs="Times New Roman"/>
                      <w:sz w:val="20"/>
                      <w:szCs w:val="20"/>
                    </w:rPr>
                  </w:pPr>
                </w:p>
              </w:tc>
              <w:tc>
                <w:tcPr>
                  <w:tcW w:w="709" w:type="dxa"/>
                </w:tcPr>
                <w:p w:rsidR="00865312" w:rsidRPr="00C549F9" w:rsidRDefault="00865312" w:rsidP="006C22A9">
                  <w:pPr>
                    <w:rPr>
                      <w:rFonts w:ascii="Times New Roman" w:hAnsi="Times New Roman" w:cs="Times New Roman"/>
                      <w:sz w:val="20"/>
                      <w:szCs w:val="20"/>
                    </w:rPr>
                  </w:pPr>
                </w:p>
              </w:tc>
              <w:tc>
                <w:tcPr>
                  <w:tcW w:w="709" w:type="dxa"/>
                </w:tcPr>
                <w:p w:rsidR="00865312" w:rsidRPr="006A6DAB" w:rsidRDefault="00865312" w:rsidP="006C22A9">
                  <w:pPr>
                    <w:rPr>
                      <w:rFonts w:ascii="Times New Roman" w:hAnsi="Times New Roman" w:cs="Times New Roman"/>
                      <w:sz w:val="20"/>
                      <w:szCs w:val="20"/>
                    </w:rPr>
                  </w:pPr>
                </w:p>
              </w:tc>
              <w:tc>
                <w:tcPr>
                  <w:tcW w:w="708" w:type="dxa"/>
                  <w:tcBorders>
                    <w:right w:val="single" w:sz="2" w:space="0" w:color="auto"/>
                  </w:tcBorders>
                </w:tcPr>
                <w:p w:rsidR="00865312" w:rsidRPr="006A6DAB" w:rsidRDefault="00865312" w:rsidP="006C22A9">
                  <w:pPr>
                    <w:rPr>
                      <w:rFonts w:ascii="Times New Roman" w:hAnsi="Times New Roman" w:cs="Times New Roman"/>
                      <w:sz w:val="20"/>
                      <w:szCs w:val="20"/>
                    </w:rPr>
                  </w:pPr>
                </w:p>
              </w:tc>
            </w:tr>
            <w:tr w:rsidR="00865312" w:rsidRPr="006A6DAB" w:rsidTr="00865312">
              <w:trPr>
                <w:trHeight w:val="1021"/>
              </w:trPr>
              <w:tc>
                <w:tcPr>
                  <w:tcW w:w="852" w:type="dxa"/>
                  <w:vMerge/>
                  <w:tcBorders>
                    <w:left w:val="single" w:sz="2" w:space="0" w:color="auto"/>
                  </w:tcBorders>
                  <w:shd w:val="clear" w:color="auto" w:fill="F2F2F2" w:themeFill="background1" w:themeFillShade="F2"/>
                </w:tcPr>
                <w:p w:rsidR="00865312" w:rsidRPr="004E29E3" w:rsidRDefault="00865312" w:rsidP="006C22A9">
                  <w:pPr>
                    <w:rPr>
                      <w:rFonts w:ascii="Times New Roman" w:hAnsi="Times New Roman" w:cs="Times New Roman"/>
                      <w:color w:val="0000FF"/>
                    </w:rPr>
                  </w:pPr>
                </w:p>
              </w:tc>
              <w:tc>
                <w:tcPr>
                  <w:tcW w:w="6379" w:type="dxa"/>
                  <w:gridSpan w:val="3"/>
                </w:tcPr>
                <w:p w:rsidR="00865312" w:rsidRPr="00865312" w:rsidRDefault="00865312" w:rsidP="00FE4A71">
                  <w:pPr>
                    <w:rPr>
                      <w:rFonts w:ascii="Times New Roman" w:hAnsi="Times New Roman" w:cs="Times New Roman"/>
                    </w:rPr>
                  </w:pPr>
                  <w:r w:rsidRPr="00865312">
                    <w:rPr>
                      <w:rFonts w:ascii="Times New Roman" w:hAnsi="Times New Roman" w:cs="Times New Roman"/>
                    </w:rPr>
                    <w:t>Connaissances techniques des effets indésirables et incidents de la chaîne transfusionnelle associées aux soins, des systèmes de veille/surveillance/ vigilances sanitaires portant sur les produits de santé ou autres, l’hygiène, les milieux de soins.</w:t>
                  </w:r>
                </w:p>
              </w:tc>
              <w:tc>
                <w:tcPr>
                  <w:tcW w:w="709" w:type="dxa"/>
                </w:tcPr>
                <w:p w:rsidR="00865312" w:rsidRPr="00C549F9" w:rsidRDefault="00865312" w:rsidP="00FE4A71">
                  <w:pPr>
                    <w:pStyle w:val="Paragraphedeliste"/>
                    <w:numPr>
                      <w:ilvl w:val="0"/>
                      <w:numId w:val="25"/>
                    </w:numPr>
                    <w:rPr>
                      <w:rFonts w:ascii="Times New Roman" w:hAnsi="Times New Roman" w:cs="Times New Roman"/>
                      <w:sz w:val="20"/>
                      <w:szCs w:val="20"/>
                    </w:rPr>
                  </w:pPr>
                </w:p>
              </w:tc>
              <w:tc>
                <w:tcPr>
                  <w:tcW w:w="709" w:type="dxa"/>
                </w:tcPr>
                <w:p w:rsidR="00865312" w:rsidRPr="00C549F9" w:rsidRDefault="00865312" w:rsidP="006C22A9">
                  <w:pPr>
                    <w:rPr>
                      <w:rFonts w:ascii="Times New Roman" w:hAnsi="Times New Roman" w:cs="Times New Roman"/>
                      <w:sz w:val="20"/>
                      <w:szCs w:val="20"/>
                    </w:rPr>
                  </w:pPr>
                </w:p>
              </w:tc>
              <w:tc>
                <w:tcPr>
                  <w:tcW w:w="709" w:type="dxa"/>
                </w:tcPr>
                <w:p w:rsidR="00865312" w:rsidRPr="006A6DAB" w:rsidRDefault="00865312" w:rsidP="006C22A9">
                  <w:pPr>
                    <w:rPr>
                      <w:rFonts w:ascii="Times New Roman" w:hAnsi="Times New Roman" w:cs="Times New Roman"/>
                      <w:sz w:val="20"/>
                      <w:szCs w:val="20"/>
                    </w:rPr>
                  </w:pPr>
                </w:p>
              </w:tc>
              <w:tc>
                <w:tcPr>
                  <w:tcW w:w="708" w:type="dxa"/>
                  <w:tcBorders>
                    <w:right w:val="single" w:sz="2" w:space="0" w:color="auto"/>
                  </w:tcBorders>
                </w:tcPr>
                <w:p w:rsidR="00865312" w:rsidRPr="006A6DAB" w:rsidRDefault="00865312" w:rsidP="006C22A9">
                  <w:pPr>
                    <w:rPr>
                      <w:rFonts w:ascii="Times New Roman" w:hAnsi="Times New Roman" w:cs="Times New Roman"/>
                      <w:sz w:val="20"/>
                      <w:szCs w:val="20"/>
                    </w:rPr>
                  </w:pPr>
                </w:p>
              </w:tc>
            </w:tr>
            <w:tr w:rsidR="00865312" w:rsidRPr="006A6DAB" w:rsidTr="00865312">
              <w:trPr>
                <w:trHeight w:val="837"/>
              </w:trPr>
              <w:tc>
                <w:tcPr>
                  <w:tcW w:w="852" w:type="dxa"/>
                  <w:vMerge/>
                  <w:tcBorders>
                    <w:left w:val="single" w:sz="2" w:space="0" w:color="auto"/>
                  </w:tcBorders>
                  <w:shd w:val="clear" w:color="auto" w:fill="F2F2F2" w:themeFill="background1" w:themeFillShade="F2"/>
                </w:tcPr>
                <w:p w:rsidR="00865312" w:rsidRPr="004E29E3" w:rsidRDefault="00865312" w:rsidP="006C22A9">
                  <w:pPr>
                    <w:rPr>
                      <w:rFonts w:ascii="Times New Roman" w:hAnsi="Times New Roman" w:cs="Times New Roman"/>
                      <w:color w:val="0000FF"/>
                    </w:rPr>
                  </w:pPr>
                </w:p>
              </w:tc>
              <w:tc>
                <w:tcPr>
                  <w:tcW w:w="6379" w:type="dxa"/>
                  <w:gridSpan w:val="3"/>
                </w:tcPr>
                <w:p w:rsidR="00865312" w:rsidRPr="00865312" w:rsidRDefault="00865312" w:rsidP="00FE4A71">
                  <w:pPr>
                    <w:rPr>
                      <w:rFonts w:ascii="Times New Roman" w:hAnsi="Times New Roman" w:cs="Times New Roman"/>
                    </w:rPr>
                  </w:pPr>
                  <w:r w:rsidRPr="00865312">
                    <w:rPr>
                      <w:rFonts w:ascii="Times New Roman" w:hAnsi="Times New Roman" w:cs="Times New Roman"/>
                    </w:rPr>
                    <w:t>Connaissance de l’architecture générale et du rôle des réseaux et des partenaires locaux et nationaux intervenant dans l’organisation de la chaine transfusionnelle</w:t>
                  </w:r>
                  <w:r>
                    <w:rPr>
                      <w:rFonts w:ascii="Times New Roman" w:hAnsi="Times New Roman" w:cs="Times New Roman"/>
                    </w:rPr>
                    <w:t xml:space="preserve"> et de la Santé Publique en général.</w:t>
                  </w:r>
                </w:p>
              </w:tc>
              <w:tc>
                <w:tcPr>
                  <w:tcW w:w="709" w:type="dxa"/>
                </w:tcPr>
                <w:p w:rsidR="00865312" w:rsidRPr="00C549F9" w:rsidRDefault="00865312" w:rsidP="00FE4A71">
                  <w:pPr>
                    <w:pStyle w:val="Paragraphedeliste"/>
                    <w:numPr>
                      <w:ilvl w:val="0"/>
                      <w:numId w:val="25"/>
                    </w:numPr>
                    <w:rPr>
                      <w:rFonts w:ascii="Times New Roman" w:hAnsi="Times New Roman" w:cs="Times New Roman"/>
                      <w:sz w:val="20"/>
                      <w:szCs w:val="20"/>
                    </w:rPr>
                  </w:pPr>
                </w:p>
              </w:tc>
              <w:tc>
                <w:tcPr>
                  <w:tcW w:w="709" w:type="dxa"/>
                </w:tcPr>
                <w:p w:rsidR="00865312" w:rsidRPr="00C549F9" w:rsidRDefault="00865312" w:rsidP="006C22A9">
                  <w:pPr>
                    <w:rPr>
                      <w:rFonts w:ascii="Times New Roman" w:hAnsi="Times New Roman" w:cs="Times New Roman"/>
                      <w:sz w:val="20"/>
                      <w:szCs w:val="20"/>
                    </w:rPr>
                  </w:pPr>
                </w:p>
              </w:tc>
              <w:tc>
                <w:tcPr>
                  <w:tcW w:w="709" w:type="dxa"/>
                </w:tcPr>
                <w:p w:rsidR="00865312" w:rsidRPr="006A6DAB" w:rsidRDefault="00865312" w:rsidP="006C22A9">
                  <w:pPr>
                    <w:rPr>
                      <w:rFonts w:ascii="Times New Roman" w:hAnsi="Times New Roman" w:cs="Times New Roman"/>
                      <w:sz w:val="20"/>
                      <w:szCs w:val="20"/>
                    </w:rPr>
                  </w:pPr>
                </w:p>
              </w:tc>
              <w:tc>
                <w:tcPr>
                  <w:tcW w:w="708" w:type="dxa"/>
                  <w:tcBorders>
                    <w:right w:val="single" w:sz="2" w:space="0" w:color="auto"/>
                  </w:tcBorders>
                </w:tcPr>
                <w:p w:rsidR="00865312" w:rsidRPr="006A6DAB" w:rsidRDefault="00865312" w:rsidP="006C22A9">
                  <w:pPr>
                    <w:rPr>
                      <w:rFonts w:ascii="Times New Roman" w:hAnsi="Times New Roman" w:cs="Times New Roman"/>
                      <w:sz w:val="20"/>
                      <w:szCs w:val="20"/>
                    </w:rPr>
                  </w:pPr>
                </w:p>
              </w:tc>
            </w:tr>
            <w:tr w:rsidR="00F60EF8" w:rsidRPr="006A6DAB" w:rsidTr="00F60EF8">
              <w:trPr>
                <w:trHeight w:val="369"/>
              </w:trPr>
              <w:tc>
                <w:tcPr>
                  <w:tcW w:w="852" w:type="dxa"/>
                  <w:tcBorders>
                    <w:left w:val="single" w:sz="2" w:space="0" w:color="auto"/>
                  </w:tcBorders>
                  <w:shd w:val="clear" w:color="auto" w:fill="F2F2F2" w:themeFill="background1" w:themeFillShade="F2"/>
                </w:tcPr>
                <w:p w:rsidR="00F60EF8" w:rsidRPr="004E29E3" w:rsidRDefault="00F60EF8" w:rsidP="006C22A9">
                  <w:pPr>
                    <w:rPr>
                      <w:rFonts w:ascii="Times New Roman" w:hAnsi="Times New Roman" w:cs="Times New Roman"/>
                      <w:color w:val="0000FF"/>
                    </w:rPr>
                  </w:pPr>
                </w:p>
              </w:tc>
              <w:tc>
                <w:tcPr>
                  <w:tcW w:w="6379" w:type="dxa"/>
                  <w:gridSpan w:val="3"/>
                </w:tcPr>
                <w:p w:rsidR="00F60EF8" w:rsidRPr="00865312" w:rsidRDefault="00F60EF8" w:rsidP="00FE4A71">
                  <w:pPr>
                    <w:rPr>
                      <w:rFonts w:ascii="Times New Roman" w:hAnsi="Times New Roman" w:cs="Times New Roman"/>
                    </w:rPr>
                  </w:pPr>
                </w:p>
              </w:tc>
              <w:tc>
                <w:tcPr>
                  <w:tcW w:w="709" w:type="dxa"/>
                </w:tcPr>
                <w:p w:rsidR="00F60EF8" w:rsidRPr="00F60EF8" w:rsidRDefault="00F60EF8" w:rsidP="00F60EF8">
                  <w:pPr>
                    <w:ind w:left="360"/>
                    <w:rPr>
                      <w:rFonts w:ascii="Times New Roman" w:hAnsi="Times New Roman" w:cs="Times New Roman"/>
                      <w:sz w:val="20"/>
                      <w:szCs w:val="20"/>
                    </w:rPr>
                  </w:pPr>
                </w:p>
              </w:tc>
              <w:tc>
                <w:tcPr>
                  <w:tcW w:w="709" w:type="dxa"/>
                </w:tcPr>
                <w:p w:rsidR="00F60EF8" w:rsidRPr="00F60EF8" w:rsidRDefault="00F60EF8" w:rsidP="00F60EF8">
                  <w:pPr>
                    <w:pStyle w:val="Paragraphedeliste"/>
                    <w:numPr>
                      <w:ilvl w:val="0"/>
                      <w:numId w:val="34"/>
                    </w:numPr>
                    <w:rPr>
                      <w:rFonts w:ascii="Times New Roman" w:hAnsi="Times New Roman" w:cs="Times New Roman"/>
                      <w:sz w:val="20"/>
                      <w:szCs w:val="20"/>
                    </w:rPr>
                  </w:pPr>
                </w:p>
              </w:tc>
              <w:tc>
                <w:tcPr>
                  <w:tcW w:w="709" w:type="dxa"/>
                </w:tcPr>
                <w:p w:rsidR="00F60EF8" w:rsidRPr="006A6DAB" w:rsidRDefault="00F60EF8" w:rsidP="006C22A9">
                  <w:pPr>
                    <w:rPr>
                      <w:rFonts w:ascii="Times New Roman" w:hAnsi="Times New Roman" w:cs="Times New Roman"/>
                      <w:sz w:val="20"/>
                      <w:szCs w:val="20"/>
                    </w:rPr>
                  </w:pPr>
                </w:p>
              </w:tc>
              <w:tc>
                <w:tcPr>
                  <w:tcW w:w="708" w:type="dxa"/>
                  <w:tcBorders>
                    <w:right w:val="single" w:sz="2" w:space="0" w:color="auto"/>
                  </w:tcBorders>
                </w:tcPr>
                <w:p w:rsidR="00F60EF8" w:rsidRPr="006A6DAB" w:rsidRDefault="00F60EF8" w:rsidP="006C22A9">
                  <w:pPr>
                    <w:rPr>
                      <w:rFonts w:ascii="Times New Roman" w:hAnsi="Times New Roman" w:cs="Times New Roman"/>
                      <w:sz w:val="20"/>
                      <w:szCs w:val="20"/>
                    </w:rPr>
                  </w:pPr>
                </w:p>
              </w:tc>
            </w:tr>
            <w:tr w:rsidR="00C549F9" w:rsidRPr="006A6DAB" w:rsidTr="004C73CA">
              <w:trPr>
                <w:trHeight w:val="59"/>
              </w:trPr>
              <w:tc>
                <w:tcPr>
                  <w:tcW w:w="852" w:type="dxa"/>
                  <w:tcBorders>
                    <w:left w:val="single" w:sz="2" w:space="0" w:color="auto"/>
                    <w:bottom w:val="single" w:sz="4" w:space="0" w:color="auto"/>
                    <w:right w:val="nil"/>
                  </w:tcBorders>
                  <w:shd w:val="thinDiagStripe" w:color="auto" w:fill="F2F2F2" w:themeFill="background1" w:themeFillShade="F2"/>
                </w:tcPr>
                <w:p w:rsidR="00C549F9" w:rsidRPr="004E29E3" w:rsidRDefault="00C549F9" w:rsidP="006C22A9">
                  <w:pPr>
                    <w:rPr>
                      <w:rFonts w:ascii="Times New Roman" w:hAnsi="Times New Roman" w:cs="Times New Roman"/>
                    </w:rPr>
                  </w:pPr>
                </w:p>
              </w:tc>
              <w:tc>
                <w:tcPr>
                  <w:tcW w:w="1679" w:type="dxa"/>
                  <w:tcBorders>
                    <w:top w:val="nil"/>
                    <w:left w:val="nil"/>
                    <w:bottom w:val="nil"/>
                    <w:right w:val="nil"/>
                  </w:tcBorders>
                  <w:shd w:val="thinDiagStripe" w:color="auto" w:fill="F2F2F2" w:themeFill="background1" w:themeFillShade="F2"/>
                </w:tcPr>
                <w:p w:rsidR="00C549F9" w:rsidRPr="004C3772" w:rsidRDefault="00C549F9" w:rsidP="006C22A9">
                  <w:pPr>
                    <w:rPr>
                      <w:rFonts w:ascii="Times New Roman" w:hAnsi="Times New Roman" w:cs="Times New Roman"/>
                      <w:sz w:val="20"/>
                      <w:szCs w:val="20"/>
                    </w:rPr>
                  </w:pPr>
                </w:p>
              </w:tc>
              <w:tc>
                <w:tcPr>
                  <w:tcW w:w="7535" w:type="dxa"/>
                  <w:gridSpan w:val="6"/>
                  <w:tcBorders>
                    <w:left w:val="nil"/>
                    <w:bottom w:val="nil"/>
                  </w:tcBorders>
                  <w:shd w:val="thinDiagStripe" w:color="auto" w:fill="F2F2F2" w:themeFill="background1" w:themeFillShade="F2"/>
                </w:tcPr>
                <w:p w:rsidR="00C549F9" w:rsidRPr="004C3772" w:rsidRDefault="00C549F9" w:rsidP="006C22A9">
                  <w:pPr>
                    <w:ind w:left="-394"/>
                    <w:jc w:val="center"/>
                    <w:rPr>
                      <w:rFonts w:ascii="Times New Roman" w:hAnsi="Times New Roman" w:cs="Times New Roman"/>
                      <w:sz w:val="20"/>
                      <w:szCs w:val="20"/>
                    </w:rPr>
                  </w:pPr>
                  <w:r w:rsidRPr="004C3772">
                    <w:rPr>
                      <w:rFonts w:ascii="Times New Roman" w:hAnsi="Times New Roman" w:cs="Times New Roman"/>
                      <w:sz w:val="20"/>
                      <w:szCs w:val="20"/>
                    </w:rPr>
                    <w:t xml:space="preserve">                                   </w:t>
                  </w:r>
                </w:p>
              </w:tc>
            </w:tr>
            <w:tr w:rsidR="00393589" w:rsidRPr="006A6DAB" w:rsidTr="00E150C4">
              <w:trPr>
                <w:trHeight w:val="59"/>
              </w:trPr>
              <w:tc>
                <w:tcPr>
                  <w:tcW w:w="852" w:type="dxa"/>
                  <w:vMerge w:val="restart"/>
                  <w:tcBorders>
                    <w:top w:val="single" w:sz="4" w:space="0" w:color="auto"/>
                  </w:tcBorders>
                  <w:shd w:val="clear" w:color="auto" w:fill="F2F2F2" w:themeFill="background1" w:themeFillShade="F2"/>
                  <w:textDirection w:val="btLr"/>
                </w:tcPr>
                <w:p w:rsidR="00393589" w:rsidRPr="004E29E3" w:rsidRDefault="00393589" w:rsidP="009F6407">
                  <w:pPr>
                    <w:ind w:left="113" w:right="113"/>
                    <w:rPr>
                      <w:rFonts w:ascii="Arial Black" w:hAnsi="Arial Black" w:cs="Times New Roman"/>
                    </w:rPr>
                  </w:pPr>
                  <w:r w:rsidRPr="004E29E3">
                    <w:rPr>
                      <w:rFonts w:ascii="Arial Black" w:hAnsi="Arial Black" w:cs="Times New Roman"/>
                    </w:rPr>
                    <w:t>Savoir-faire/</w:t>
                  </w:r>
                  <w:r>
                    <w:rPr>
                      <w:rFonts w:ascii="Arial Black" w:hAnsi="Arial Black" w:cs="Times New Roman"/>
                    </w:rPr>
                    <w:t xml:space="preserve"> </w:t>
                  </w:r>
                  <w:r w:rsidRPr="004E29E3">
                    <w:rPr>
                      <w:rFonts w:ascii="Arial Black" w:hAnsi="Arial Black" w:cs="Times New Roman"/>
                    </w:rPr>
                    <w:t>savoir être</w:t>
                  </w:r>
                </w:p>
              </w:tc>
              <w:tc>
                <w:tcPr>
                  <w:tcW w:w="6379" w:type="dxa"/>
                  <w:gridSpan w:val="3"/>
                </w:tcPr>
                <w:p w:rsidR="00393589" w:rsidRDefault="00393589" w:rsidP="00473589">
                  <w:pPr>
                    <w:rPr>
                      <w:rFonts w:ascii="Times New Roman" w:hAnsi="Times New Roman" w:cs="Times New Roman"/>
                    </w:rPr>
                  </w:pPr>
                  <w:r w:rsidRPr="00393589">
                    <w:rPr>
                      <w:rFonts w:ascii="Times New Roman" w:hAnsi="Times New Roman" w:cs="Times New Roman"/>
                    </w:rPr>
                    <w:tab/>
                  </w:r>
                  <w:r w:rsidRPr="00393589">
                    <w:rPr>
                      <w:rFonts w:ascii="Times New Roman" w:hAnsi="Times New Roman" w:cs="Times New Roman"/>
                    </w:rPr>
                    <w:tab/>
                  </w:r>
                </w:p>
              </w:tc>
              <w:tc>
                <w:tcPr>
                  <w:tcW w:w="709" w:type="dxa"/>
                </w:tcPr>
                <w:p w:rsidR="00393589" w:rsidRPr="00865312" w:rsidRDefault="00393589" w:rsidP="00865312">
                  <w:pPr>
                    <w:ind w:left="360"/>
                    <w:rPr>
                      <w:rFonts w:ascii="Times New Roman" w:hAnsi="Times New Roman" w:cs="Times New Roman"/>
                      <w:color w:val="0000FF"/>
                      <w:sz w:val="20"/>
                      <w:szCs w:val="20"/>
                    </w:rPr>
                  </w:pPr>
                </w:p>
              </w:tc>
              <w:tc>
                <w:tcPr>
                  <w:tcW w:w="709" w:type="dxa"/>
                </w:tcPr>
                <w:p w:rsidR="00393589" w:rsidRPr="00865312" w:rsidRDefault="00393589" w:rsidP="00865312">
                  <w:pPr>
                    <w:pStyle w:val="Paragraphedeliste"/>
                    <w:numPr>
                      <w:ilvl w:val="0"/>
                      <w:numId w:val="30"/>
                    </w:numPr>
                    <w:rPr>
                      <w:rFonts w:ascii="Times New Roman" w:hAnsi="Times New Roman" w:cs="Times New Roman"/>
                      <w:sz w:val="20"/>
                      <w:szCs w:val="20"/>
                    </w:rPr>
                  </w:pPr>
                </w:p>
              </w:tc>
              <w:tc>
                <w:tcPr>
                  <w:tcW w:w="709" w:type="dxa"/>
                </w:tcPr>
                <w:p w:rsidR="00393589" w:rsidRPr="006A6DAB" w:rsidRDefault="00393589" w:rsidP="006C22A9">
                  <w:pPr>
                    <w:rPr>
                      <w:rFonts w:ascii="Times New Roman" w:hAnsi="Times New Roman" w:cs="Times New Roman"/>
                      <w:sz w:val="20"/>
                      <w:szCs w:val="20"/>
                    </w:rPr>
                  </w:pPr>
                </w:p>
              </w:tc>
              <w:tc>
                <w:tcPr>
                  <w:tcW w:w="708" w:type="dxa"/>
                </w:tcPr>
                <w:p w:rsidR="00393589" w:rsidRPr="006A6DAB" w:rsidRDefault="00393589" w:rsidP="006C22A9">
                  <w:pPr>
                    <w:rPr>
                      <w:rFonts w:ascii="Times New Roman" w:hAnsi="Times New Roman" w:cs="Times New Roman"/>
                      <w:sz w:val="20"/>
                      <w:szCs w:val="20"/>
                    </w:rPr>
                  </w:pPr>
                </w:p>
              </w:tc>
            </w:tr>
            <w:tr w:rsidR="00F60EF8" w:rsidRPr="006A6DAB" w:rsidTr="006A44ED">
              <w:trPr>
                <w:trHeight w:val="59"/>
              </w:trPr>
              <w:tc>
                <w:tcPr>
                  <w:tcW w:w="852" w:type="dxa"/>
                  <w:vMerge/>
                  <w:shd w:val="clear" w:color="auto" w:fill="F2F2F2" w:themeFill="background1" w:themeFillShade="F2"/>
                  <w:textDirection w:val="btLr"/>
                </w:tcPr>
                <w:p w:rsidR="00F60EF8" w:rsidRPr="004E29E3" w:rsidRDefault="00F60EF8" w:rsidP="009F6407">
                  <w:pPr>
                    <w:ind w:left="113" w:right="113"/>
                    <w:rPr>
                      <w:rFonts w:ascii="Arial Black" w:hAnsi="Arial Black" w:cs="Times New Roman"/>
                    </w:rPr>
                  </w:pPr>
                </w:p>
              </w:tc>
              <w:tc>
                <w:tcPr>
                  <w:tcW w:w="6379" w:type="dxa"/>
                  <w:gridSpan w:val="3"/>
                </w:tcPr>
                <w:p w:rsidR="00F60EF8" w:rsidRPr="00865312" w:rsidRDefault="00F60EF8" w:rsidP="00477EB0">
                  <w:pPr>
                    <w:rPr>
                      <w:rFonts w:ascii="Times New Roman" w:hAnsi="Times New Roman" w:cs="Times New Roman"/>
                    </w:rPr>
                  </w:pPr>
                  <w:r w:rsidRPr="00F60EF8">
                    <w:rPr>
                      <w:rFonts w:ascii="Times New Roman" w:hAnsi="Times New Roman" w:cs="Times New Roman"/>
                    </w:rPr>
                    <w:t>Capacités rédactionnelles</w:t>
                  </w:r>
                </w:p>
              </w:tc>
              <w:tc>
                <w:tcPr>
                  <w:tcW w:w="709" w:type="dxa"/>
                </w:tcPr>
                <w:p w:rsidR="00F60EF8" w:rsidRPr="00F60EF8" w:rsidRDefault="00F60EF8" w:rsidP="00477EB0">
                  <w:pPr>
                    <w:ind w:left="360"/>
                    <w:rPr>
                      <w:rFonts w:ascii="Times New Roman" w:hAnsi="Times New Roman" w:cs="Times New Roman"/>
                      <w:sz w:val="20"/>
                      <w:szCs w:val="20"/>
                    </w:rPr>
                  </w:pPr>
                </w:p>
              </w:tc>
              <w:tc>
                <w:tcPr>
                  <w:tcW w:w="709" w:type="dxa"/>
                </w:tcPr>
                <w:p w:rsidR="00F60EF8" w:rsidRPr="00F60EF8" w:rsidRDefault="00F60EF8" w:rsidP="00F60EF8">
                  <w:pPr>
                    <w:pStyle w:val="Paragraphedeliste"/>
                    <w:numPr>
                      <w:ilvl w:val="0"/>
                      <w:numId w:val="34"/>
                    </w:numPr>
                    <w:rPr>
                      <w:rFonts w:ascii="Times New Roman" w:hAnsi="Times New Roman" w:cs="Times New Roman"/>
                      <w:sz w:val="20"/>
                      <w:szCs w:val="20"/>
                    </w:rPr>
                  </w:pPr>
                </w:p>
              </w:tc>
              <w:tc>
                <w:tcPr>
                  <w:tcW w:w="709" w:type="dxa"/>
                </w:tcPr>
                <w:p w:rsidR="00F60EF8" w:rsidRPr="006A6DAB" w:rsidRDefault="00F60EF8" w:rsidP="00477EB0">
                  <w:pPr>
                    <w:rPr>
                      <w:rFonts w:ascii="Times New Roman" w:hAnsi="Times New Roman" w:cs="Times New Roman"/>
                      <w:sz w:val="20"/>
                      <w:szCs w:val="20"/>
                    </w:rPr>
                  </w:pPr>
                </w:p>
              </w:tc>
              <w:tc>
                <w:tcPr>
                  <w:tcW w:w="708" w:type="dxa"/>
                </w:tcPr>
                <w:p w:rsidR="00F60EF8" w:rsidRPr="006A6DAB" w:rsidRDefault="00F60EF8" w:rsidP="00477EB0">
                  <w:pPr>
                    <w:rPr>
                      <w:rFonts w:ascii="Times New Roman" w:hAnsi="Times New Roman" w:cs="Times New Roman"/>
                      <w:sz w:val="20"/>
                      <w:szCs w:val="20"/>
                    </w:rPr>
                  </w:pPr>
                </w:p>
              </w:tc>
            </w:tr>
            <w:tr w:rsidR="00F60EF8" w:rsidRPr="006A6DAB" w:rsidTr="00473589">
              <w:trPr>
                <w:trHeight w:val="59"/>
              </w:trPr>
              <w:tc>
                <w:tcPr>
                  <w:tcW w:w="852" w:type="dxa"/>
                  <w:vMerge/>
                  <w:shd w:val="clear" w:color="auto" w:fill="F2F2F2" w:themeFill="background1" w:themeFillShade="F2"/>
                  <w:textDirection w:val="btLr"/>
                </w:tcPr>
                <w:p w:rsidR="00F60EF8" w:rsidRPr="004E29E3" w:rsidRDefault="00F60EF8" w:rsidP="009F6407">
                  <w:pPr>
                    <w:ind w:left="113" w:right="113"/>
                    <w:rPr>
                      <w:rFonts w:ascii="Arial Black" w:hAnsi="Arial Black" w:cs="Times New Roman"/>
                    </w:rPr>
                  </w:pPr>
                </w:p>
              </w:tc>
              <w:tc>
                <w:tcPr>
                  <w:tcW w:w="6379" w:type="dxa"/>
                  <w:gridSpan w:val="3"/>
                </w:tcPr>
                <w:p w:rsidR="00F60EF8" w:rsidRPr="00865312" w:rsidRDefault="00F60EF8" w:rsidP="00477EB0">
                  <w:pPr>
                    <w:rPr>
                      <w:rFonts w:ascii="Times New Roman" w:hAnsi="Times New Roman" w:cs="Times New Roman"/>
                    </w:rPr>
                  </w:pPr>
                  <w:r>
                    <w:rPr>
                      <w:rFonts w:ascii="Times New Roman" w:hAnsi="Times New Roman" w:cs="Times New Roman"/>
                    </w:rPr>
                    <w:t>Capacité d’analyse et de synthèse</w:t>
                  </w:r>
                </w:p>
              </w:tc>
              <w:tc>
                <w:tcPr>
                  <w:tcW w:w="709" w:type="dxa"/>
                </w:tcPr>
                <w:p w:rsidR="00F60EF8" w:rsidRPr="00F60EF8" w:rsidRDefault="00F60EF8" w:rsidP="00477EB0">
                  <w:pPr>
                    <w:ind w:left="360"/>
                    <w:rPr>
                      <w:rFonts w:ascii="Times New Roman" w:hAnsi="Times New Roman" w:cs="Times New Roman"/>
                      <w:sz w:val="20"/>
                      <w:szCs w:val="20"/>
                    </w:rPr>
                  </w:pPr>
                </w:p>
              </w:tc>
              <w:tc>
                <w:tcPr>
                  <w:tcW w:w="709" w:type="dxa"/>
                </w:tcPr>
                <w:p w:rsidR="00F60EF8" w:rsidRPr="00F60EF8" w:rsidRDefault="00F60EF8" w:rsidP="00477EB0">
                  <w:pPr>
                    <w:pStyle w:val="Paragraphedeliste"/>
                    <w:numPr>
                      <w:ilvl w:val="0"/>
                      <w:numId w:val="34"/>
                    </w:numPr>
                    <w:rPr>
                      <w:rFonts w:ascii="Times New Roman" w:hAnsi="Times New Roman" w:cs="Times New Roman"/>
                      <w:sz w:val="20"/>
                      <w:szCs w:val="20"/>
                    </w:rPr>
                  </w:pPr>
                </w:p>
              </w:tc>
              <w:tc>
                <w:tcPr>
                  <w:tcW w:w="709" w:type="dxa"/>
                </w:tcPr>
                <w:p w:rsidR="00F60EF8" w:rsidRPr="006A6DAB" w:rsidRDefault="00F60EF8" w:rsidP="00477EB0">
                  <w:pPr>
                    <w:rPr>
                      <w:rFonts w:ascii="Times New Roman" w:hAnsi="Times New Roman" w:cs="Times New Roman"/>
                      <w:sz w:val="20"/>
                      <w:szCs w:val="20"/>
                    </w:rPr>
                  </w:pPr>
                </w:p>
              </w:tc>
              <w:tc>
                <w:tcPr>
                  <w:tcW w:w="708" w:type="dxa"/>
                </w:tcPr>
                <w:p w:rsidR="00F60EF8" w:rsidRPr="006A6DAB" w:rsidRDefault="00F60EF8" w:rsidP="00477EB0">
                  <w:pPr>
                    <w:rPr>
                      <w:rFonts w:ascii="Times New Roman" w:hAnsi="Times New Roman" w:cs="Times New Roman"/>
                      <w:sz w:val="20"/>
                      <w:szCs w:val="20"/>
                    </w:rPr>
                  </w:pPr>
                </w:p>
              </w:tc>
            </w:tr>
            <w:tr w:rsidR="00F60EF8" w:rsidRPr="006A6DAB" w:rsidTr="00E150C4">
              <w:trPr>
                <w:trHeight w:val="59"/>
              </w:trPr>
              <w:tc>
                <w:tcPr>
                  <w:tcW w:w="852" w:type="dxa"/>
                  <w:vMerge/>
                  <w:shd w:val="clear" w:color="auto" w:fill="F2F2F2" w:themeFill="background1" w:themeFillShade="F2"/>
                </w:tcPr>
                <w:p w:rsidR="00F60EF8" w:rsidRPr="00A03107" w:rsidRDefault="00F60EF8" w:rsidP="006C22A9">
                  <w:pPr>
                    <w:rPr>
                      <w:rFonts w:ascii="Times New Roman" w:hAnsi="Times New Roman" w:cs="Times New Roman"/>
                      <w:sz w:val="20"/>
                      <w:szCs w:val="20"/>
                    </w:rPr>
                  </w:pPr>
                </w:p>
              </w:tc>
              <w:tc>
                <w:tcPr>
                  <w:tcW w:w="6379" w:type="dxa"/>
                  <w:gridSpan w:val="3"/>
                </w:tcPr>
                <w:p w:rsidR="00F60EF8" w:rsidRPr="009F6407" w:rsidRDefault="00F60EF8" w:rsidP="00173578">
                  <w:pPr>
                    <w:jc w:val="left"/>
                    <w:rPr>
                      <w:rFonts w:ascii="Times New Roman" w:hAnsi="Times New Roman" w:cs="Times New Roman"/>
                    </w:rPr>
                  </w:pPr>
                  <w:r>
                    <w:rPr>
                      <w:rFonts w:ascii="Times New Roman" w:hAnsi="Times New Roman" w:cs="Times New Roman"/>
                    </w:rPr>
                    <w:t>Capacité à développer et animer un réseau avec les professionnels de santé de la région</w:t>
                  </w:r>
                </w:p>
              </w:tc>
              <w:tc>
                <w:tcPr>
                  <w:tcW w:w="709" w:type="dxa"/>
                </w:tcPr>
                <w:p w:rsidR="00F60EF8" w:rsidRPr="00865312" w:rsidRDefault="00F60EF8" w:rsidP="00865312">
                  <w:pPr>
                    <w:pStyle w:val="Paragraphedeliste"/>
                    <w:numPr>
                      <w:ilvl w:val="0"/>
                      <w:numId w:val="25"/>
                    </w:numPr>
                    <w:rPr>
                      <w:rFonts w:ascii="Times New Roman" w:hAnsi="Times New Roman" w:cs="Times New Roman"/>
                      <w:color w:val="0000FF"/>
                      <w:sz w:val="20"/>
                      <w:szCs w:val="20"/>
                    </w:rPr>
                  </w:pPr>
                </w:p>
              </w:tc>
              <w:tc>
                <w:tcPr>
                  <w:tcW w:w="709" w:type="dxa"/>
                </w:tcPr>
                <w:p w:rsidR="00F60EF8" w:rsidRPr="00865312" w:rsidRDefault="00F60EF8" w:rsidP="00865312">
                  <w:pPr>
                    <w:pStyle w:val="Paragraphedeliste"/>
                    <w:numPr>
                      <w:ilvl w:val="0"/>
                      <w:numId w:val="31"/>
                    </w:numPr>
                    <w:rPr>
                      <w:rFonts w:ascii="Times New Roman" w:hAnsi="Times New Roman" w:cs="Times New Roman"/>
                      <w:sz w:val="20"/>
                      <w:szCs w:val="20"/>
                    </w:rPr>
                  </w:pPr>
                </w:p>
              </w:tc>
              <w:tc>
                <w:tcPr>
                  <w:tcW w:w="709" w:type="dxa"/>
                </w:tcPr>
                <w:p w:rsidR="00F60EF8" w:rsidRPr="006A6DAB" w:rsidRDefault="00F60EF8" w:rsidP="006C22A9">
                  <w:pPr>
                    <w:rPr>
                      <w:rFonts w:ascii="Times New Roman" w:hAnsi="Times New Roman" w:cs="Times New Roman"/>
                      <w:sz w:val="20"/>
                      <w:szCs w:val="20"/>
                    </w:rPr>
                  </w:pPr>
                </w:p>
              </w:tc>
              <w:tc>
                <w:tcPr>
                  <w:tcW w:w="708" w:type="dxa"/>
                </w:tcPr>
                <w:p w:rsidR="00F60EF8" w:rsidRPr="006A6DAB" w:rsidRDefault="00F60EF8" w:rsidP="006C22A9">
                  <w:pPr>
                    <w:rPr>
                      <w:rFonts w:ascii="Times New Roman" w:hAnsi="Times New Roman" w:cs="Times New Roman"/>
                      <w:sz w:val="20"/>
                      <w:szCs w:val="20"/>
                    </w:rPr>
                  </w:pPr>
                </w:p>
              </w:tc>
            </w:tr>
          </w:tbl>
          <w:p w:rsidR="00F71EBD" w:rsidRPr="00650919" w:rsidRDefault="00F71EBD" w:rsidP="009E1EF0">
            <w:pPr>
              <w:rPr>
                <w:rFonts w:ascii="Times New Roman" w:hAnsi="Times New Roman" w:cs="Times New Roman"/>
                <w:sz w:val="20"/>
                <w:szCs w:val="20"/>
              </w:rPr>
            </w:pPr>
          </w:p>
        </w:tc>
      </w:tr>
    </w:tbl>
    <w:p w:rsidR="002C16D4" w:rsidRPr="00D15C2B" w:rsidRDefault="002C16D4" w:rsidP="00E150C4">
      <w:pPr>
        <w:rPr>
          <w:rFonts w:ascii="Times New Roman" w:hAnsi="Times New Roman" w:cs="Times New Roman"/>
          <w:b/>
          <w:bCs/>
          <w:color w:val="669900"/>
        </w:rPr>
      </w:pPr>
    </w:p>
    <w:tbl>
      <w:tblPr>
        <w:tblStyle w:val="Grilledutableau"/>
        <w:tblW w:w="10740" w:type="dxa"/>
        <w:tblLook w:val="04A0" w:firstRow="1" w:lastRow="0" w:firstColumn="1" w:lastColumn="0" w:noHBand="0" w:noVBand="1"/>
      </w:tblPr>
      <w:tblGrid>
        <w:gridCol w:w="10740"/>
      </w:tblGrid>
      <w:tr w:rsidR="00D15C2B" w:rsidTr="00135B02">
        <w:tc>
          <w:tcPr>
            <w:tcW w:w="10740" w:type="dxa"/>
            <w:shd w:val="clear" w:color="auto" w:fill="D9D9D9" w:themeFill="background1" w:themeFillShade="D9"/>
          </w:tcPr>
          <w:p w:rsidR="00842FCC" w:rsidRDefault="00842FCC" w:rsidP="00D15C2B">
            <w:pPr>
              <w:jc w:val="center"/>
              <w:rPr>
                <w:rFonts w:ascii="Times New Roman" w:hAnsi="Times New Roman" w:cs="Times New Roman"/>
                <w:b/>
                <w:bCs/>
                <w:color w:val="74B230"/>
              </w:rPr>
            </w:pPr>
          </w:p>
          <w:p w:rsidR="00D15C2B" w:rsidRPr="003067AC" w:rsidRDefault="00133BEF" w:rsidP="00D15C2B">
            <w:pPr>
              <w:jc w:val="center"/>
              <w:rPr>
                <w:rFonts w:ascii="Times New Roman" w:hAnsi="Times New Roman" w:cs="Times New Roman"/>
                <w:b/>
                <w:bCs/>
                <w:color w:val="659B29"/>
              </w:rPr>
            </w:pPr>
            <w:r>
              <w:rPr>
                <w:rFonts w:ascii="Times New Roman" w:hAnsi="Times New Roman" w:cs="Times New Roman"/>
                <w:b/>
                <w:bCs/>
                <w:color w:val="659B29"/>
              </w:rPr>
              <w:t>PRE-</w:t>
            </w:r>
            <w:r w:rsidR="00AE381A">
              <w:rPr>
                <w:rFonts w:ascii="Times New Roman" w:hAnsi="Times New Roman" w:cs="Times New Roman"/>
                <w:b/>
                <w:bCs/>
                <w:color w:val="659B29"/>
              </w:rPr>
              <w:t>REQUIS DU</w:t>
            </w:r>
            <w:r w:rsidR="00D15C2B" w:rsidRPr="003067AC">
              <w:rPr>
                <w:rFonts w:ascii="Times New Roman" w:hAnsi="Times New Roman" w:cs="Times New Roman"/>
                <w:b/>
                <w:bCs/>
                <w:color w:val="659B29"/>
              </w:rPr>
              <w:t xml:space="preserve"> POSTE</w:t>
            </w:r>
          </w:p>
          <w:p w:rsidR="00D15C2B" w:rsidRDefault="00D15C2B" w:rsidP="00E150C4">
            <w:pPr>
              <w:rPr>
                <w:rFonts w:ascii="Times New Roman" w:hAnsi="Times New Roman" w:cs="Times New Roman"/>
                <w:b/>
                <w:bCs/>
                <w:color w:val="669900"/>
                <w:sz w:val="16"/>
                <w:szCs w:val="16"/>
              </w:rPr>
            </w:pPr>
          </w:p>
        </w:tc>
      </w:tr>
      <w:tr w:rsidR="00D15C2B" w:rsidTr="00BC2B17">
        <w:trPr>
          <w:trHeight w:val="1698"/>
        </w:trPr>
        <w:tc>
          <w:tcPr>
            <w:tcW w:w="10740" w:type="dxa"/>
          </w:tcPr>
          <w:p w:rsidR="00D15C2B" w:rsidRDefault="00BC2B17" w:rsidP="00D15C2B">
            <w:pPr>
              <w:pBdr>
                <w:left w:val="single" w:sz="2" w:space="4" w:color="auto"/>
                <w:bottom w:val="single" w:sz="2" w:space="1" w:color="auto"/>
                <w:right w:val="single" w:sz="2" w:space="9" w:color="auto"/>
              </w:pBdr>
              <w:rPr>
                <w:rFonts w:ascii="Times New Roman" w:hAnsi="Times New Roman" w:cs="Times New Roman"/>
              </w:rPr>
            </w:pPr>
            <w:r>
              <w:rPr>
                <w:rFonts w:ascii="Times New Roman" w:hAnsi="Times New Roman" w:cs="Times New Roman"/>
                <w:b/>
              </w:rPr>
              <w:t xml:space="preserve">Profil souhaité : </w:t>
            </w:r>
            <w:r w:rsidR="002512FC" w:rsidRPr="002512FC">
              <w:rPr>
                <w:rFonts w:ascii="Times New Roman" w:hAnsi="Times New Roman" w:cs="Times New Roman"/>
              </w:rPr>
              <w:t>M</w:t>
            </w:r>
            <w:r w:rsidR="00D921FE">
              <w:rPr>
                <w:rFonts w:ascii="Times New Roman" w:hAnsi="Times New Roman" w:cs="Times New Roman"/>
              </w:rPr>
              <w:t>édecin Praticien Hospitalier ou qualifications équivalentes.</w:t>
            </w:r>
          </w:p>
          <w:p w:rsidR="00D921FE" w:rsidRDefault="00D921FE" w:rsidP="00D15C2B">
            <w:pPr>
              <w:pBdr>
                <w:left w:val="single" w:sz="2" w:space="4" w:color="auto"/>
                <w:bottom w:val="single" w:sz="2" w:space="1" w:color="auto"/>
                <w:right w:val="single" w:sz="2" w:space="9" w:color="auto"/>
              </w:pBdr>
              <w:rPr>
                <w:rFonts w:ascii="Times New Roman" w:hAnsi="Times New Roman" w:cs="Times New Roman"/>
              </w:rPr>
            </w:pPr>
            <w:r>
              <w:rPr>
                <w:rFonts w:ascii="Times New Roman" w:hAnsi="Times New Roman" w:cs="Times New Roman"/>
              </w:rPr>
              <w:t>Expérience en matière de transfusion sanguine.</w:t>
            </w:r>
          </w:p>
          <w:p w:rsidR="00D15C2B" w:rsidRDefault="00D15C2B" w:rsidP="00D15C2B">
            <w:pPr>
              <w:pBdr>
                <w:left w:val="single" w:sz="2" w:space="4" w:color="auto"/>
                <w:bottom w:val="single" w:sz="2" w:space="1" w:color="auto"/>
                <w:right w:val="single" w:sz="2" w:space="9" w:color="auto"/>
              </w:pBdr>
              <w:rPr>
                <w:rFonts w:ascii="Times New Roman" w:hAnsi="Times New Roman" w:cs="Times New Roman"/>
                <w:sz w:val="20"/>
                <w:szCs w:val="20"/>
              </w:rPr>
            </w:pPr>
          </w:p>
          <w:p w:rsidR="0082257F" w:rsidRDefault="0082257F" w:rsidP="0082257F">
            <w:pPr>
              <w:pBdr>
                <w:left w:val="single" w:sz="2" w:space="4" w:color="auto"/>
                <w:bottom w:val="single" w:sz="2" w:space="1" w:color="auto"/>
                <w:right w:val="single" w:sz="2" w:space="9" w:color="auto"/>
              </w:pBdr>
              <w:rPr>
                <w:rFonts w:ascii="Times New Roman" w:hAnsi="Times New Roman" w:cs="Times New Roman"/>
                <w:b/>
              </w:rPr>
            </w:pPr>
            <w:r>
              <w:rPr>
                <w:rFonts w:ascii="Times New Roman" w:hAnsi="Times New Roman" w:cs="Times New Roman"/>
                <w:b/>
              </w:rPr>
              <w:t>Expérience professionnelle :</w:t>
            </w:r>
          </w:p>
          <w:p w:rsidR="0082257F" w:rsidRDefault="006D0A9B" w:rsidP="0082257F">
            <w:pPr>
              <w:pBdr>
                <w:left w:val="single" w:sz="2" w:space="4" w:color="auto"/>
                <w:bottom w:val="single" w:sz="2" w:space="1" w:color="auto"/>
                <w:right w:val="single" w:sz="2" w:space="9" w:color="auto"/>
              </w:pBdr>
              <w:rPr>
                <w:rFonts w:ascii="Times New Roman" w:hAnsi="Times New Roman" w:cs="Times New Roman"/>
              </w:rPr>
            </w:pPr>
            <w:r>
              <w:rPr>
                <w:rFonts w:ascii="Times New Roman" w:hAnsi="Times New Roman" w:cs="Times New Roman"/>
              </w:rPr>
              <w:fldChar w:fldCharType="begin">
                <w:ffData>
                  <w:name w:val=""/>
                  <w:enabled/>
                  <w:calcOnExit w:val="0"/>
                  <w:checkBox>
                    <w:sizeAuto/>
                    <w:default w:val="0"/>
                  </w:checkBox>
                </w:ffData>
              </w:fldChar>
            </w:r>
            <w:r w:rsidR="0082257F">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Pr>
                <w:rFonts w:ascii="Times New Roman" w:hAnsi="Times New Roman" w:cs="Times New Roman"/>
              </w:rPr>
              <w:fldChar w:fldCharType="end"/>
            </w:r>
            <w:r w:rsidR="0082257F">
              <w:rPr>
                <w:rFonts w:ascii="Times New Roman" w:hAnsi="Times New Roman" w:cs="Times New Roman"/>
              </w:rPr>
              <w:t xml:space="preserve"> le poste peut convenir à un premier poste dans le domaine</w:t>
            </w:r>
          </w:p>
          <w:p w:rsidR="0082257F" w:rsidRDefault="006D0A9B" w:rsidP="0082257F">
            <w:pPr>
              <w:pBdr>
                <w:left w:val="single" w:sz="2" w:space="4" w:color="auto"/>
                <w:bottom w:val="single" w:sz="2" w:space="1" w:color="auto"/>
                <w:right w:val="single" w:sz="2" w:space="9" w:color="auto"/>
              </w:pBdr>
              <w:rPr>
                <w:rFonts w:ascii="Times New Roman" w:hAnsi="Times New Roman" w:cs="Times New Roman"/>
                <w:color w:val="000000"/>
              </w:rPr>
            </w:pPr>
            <w:r>
              <w:rPr>
                <w:rFonts w:ascii="Times New Roman" w:hAnsi="Times New Roman" w:cs="Times New Roman"/>
              </w:rPr>
              <w:fldChar w:fldCharType="begin">
                <w:ffData>
                  <w:name w:val="CaseACocher1"/>
                  <w:enabled/>
                  <w:calcOnExit w:val="0"/>
                  <w:checkBox>
                    <w:sizeAuto/>
                    <w:default w:val="0"/>
                  </w:checkBox>
                </w:ffData>
              </w:fldChar>
            </w:r>
            <w:r w:rsidR="0082257F">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Pr>
                <w:rFonts w:ascii="Times New Roman" w:hAnsi="Times New Roman" w:cs="Times New Roman"/>
              </w:rPr>
              <w:fldChar w:fldCharType="end"/>
            </w:r>
            <w:r w:rsidR="0082257F">
              <w:rPr>
                <w:rFonts w:ascii="Times New Roman" w:hAnsi="Times New Roman" w:cs="Times New Roman"/>
              </w:rPr>
              <w:t xml:space="preserve"> le poste peut convenir à une nouvelle orientation professionnelle </w:t>
            </w:r>
          </w:p>
          <w:p w:rsidR="00BC2B17" w:rsidRPr="00BC2B17" w:rsidRDefault="006D0A9B" w:rsidP="00BC2B17">
            <w:pPr>
              <w:pBdr>
                <w:left w:val="single" w:sz="2" w:space="4" w:color="auto"/>
                <w:bottom w:val="single" w:sz="2" w:space="1" w:color="auto"/>
                <w:right w:val="single" w:sz="2" w:space="9" w:color="auto"/>
              </w:pBdr>
              <w:rPr>
                <w:rFonts w:ascii="Times New Roman" w:hAnsi="Times New Roman" w:cs="Times New Roman"/>
              </w:rPr>
            </w:pPr>
            <w:r>
              <w:rPr>
                <w:rFonts w:ascii="Times New Roman" w:hAnsi="Times New Roman" w:cs="Times New Roman"/>
              </w:rPr>
              <w:fldChar w:fldCharType="begin">
                <w:ffData>
                  <w:name w:val=""/>
                  <w:enabled/>
                  <w:calcOnExit w:val="0"/>
                  <w:checkBox>
                    <w:sizeAuto/>
                    <w:default w:val="1"/>
                  </w:checkBox>
                </w:ffData>
              </w:fldChar>
            </w:r>
            <w:r w:rsidR="00E53AB2">
              <w:rPr>
                <w:rFonts w:ascii="Times New Roman" w:hAnsi="Times New Roman" w:cs="Times New Roman"/>
              </w:rPr>
              <w:instrText xml:space="preserve"> FORMCHECKBOX </w:instrText>
            </w:r>
            <w:r w:rsidR="00DA4026">
              <w:rPr>
                <w:rFonts w:ascii="Times New Roman" w:hAnsi="Times New Roman" w:cs="Times New Roman"/>
              </w:rPr>
            </w:r>
            <w:r w:rsidR="00DA4026">
              <w:rPr>
                <w:rFonts w:ascii="Times New Roman" w:hAnsi="Times New Roman" w:cs="Times New Roman"/>
              </w:rPr>
              <w:fldChar w:fldCharType="separate"/>
            </w:r>
            <w:r>
              <w:rPr>
                <w:rFonts w:ascii="Times New Roman" w:hAnsi="Times New Roman" w:cs="Times New Roman"/>
              </w:rPr>
              <w:fldChar w:fldCharType="end"/>
            </w:r>
            <w:r w:rsidR="0082257F">
              <w:rPr>
                <w:rFonts w:ascii="Times New Roman" w:hAnsi="Times New Roman" w:cs="Times New Roman"/>
              </w:rPr>
              <w:t xml:space="preserve"> </w:t>
            </w:r>
            <w:r w:rsidR="0082257F">
              <w:rPr>
                <w:rFonts w:ascii="Times New Roman" w:hAnsi="Times New Roman" w:cs="Times New Roman"/>
                <w:color w:val="000000"/>
              </w:rPr>
              <w:t>le poste nécessite une expérience pro</w:t>
            </w:r>
            <w:r w:rsidR="00E53AB2">
              <w:rPr>
                <w:rFonts w:ascii="Times New Roman" w:hAnsi="Times New Roman" w:cs="Times New Roman"/>
                <w:color w:val="000000"/>
              </w:rPr>
              <w:t xml:space="preserve">fessionnelle dans le domaine : 5 à 10 </w:t>
            </w:r>
            <w:r w:rsidR="0082257F">
              <w:rPr>
                <w:rFonts w:ascii="Times New Roman" w:hAnsi="Times New Roman" w:cs="Times New Roman"/>
                <w:color w:val="000000"/>
              </w:rPr>
              <w:t xml:space="preserve">ans </w:t>
            </w:r>
          </w:p>
        </w:tc>
      </w:tr>
    </w:tbl>
    <w:p w:rsidR="004C3772" w:rsidRPr="00B462A3" w:rsidRDefault="004C3772" w:rsidP="00FE4A71"/>
    <w:sectPr w:rsidR="004C3772" w:rsidRPr="00B462A3" w:rsidSect="004C73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026" w:rsidRDefault="00DA4026" w:rsidP="00E4608C">
      <w:r>
        <w:separator/>
      </w:r>
    </w:p>
  </w:endnote>
  <w:endnote w:type="continuationSeparator" w:id="0">
    <w:p w:rsidR="00DA4026" w:rsidRDefault="00DA4026" w:rsidP="00E4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89F" w:rsidRDefault="006C1413">
    <w:pPr>
      <w:pStyle w:val="Pieddepage"/>
      <w:pBdr>
        <w:top w:val="thinThickSmallGap" w:sz="24" w:space="1" w:color="622423" w:themeColor="accent2" w:themeShade="7F"/>
      </w:pBdr>
      <w:rPr>
        <w:rFonts w:asciiTheme="majorHAnsi" w:hAnsiTheme="majorHAnsi"/>
      </w:rPr>
    </w:pPr>
    <w:r>
      <w:fldChar w:fldCharType="begin"/>
    </w:r>
    <w:r>
      <w:instrText xml:space="preserve"> PAGE   \* MERGEFORMAT </w:instrText>
    </w:r>
    <w:r>
      <w:fldChar w:fldCharType="separate"/>
    </w:r>
    <w:r w:rsidR="00AC0CC6" w:rsidRPr="00AC0CC6">
      <w:rPr>
        <w:rFonts w:asciiTheme="majorHAnsi" w:hAnsiTheme="majorHAnsi"/>
        <w:noProof/>
      </w:rPr>
      <w:t>1</w:t>
    </w:r>
    <w:r>
      <w:rPr>
        <w:rFonts w:asciiTheme="majorHAnsi" w:hAnsiTheme="majorHAnsi"/>
        <w:noProof/>
      </w:rPr>
      <w:fldChar w:fldCharType="end"/>
    </w:r>
  </w:p>
  <w:p w:rsidR="005C089F" w:rsidRDefault="005C08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026" w:rsidRDefault="00DA4026" w:rsidP="00E4608C">
      <w:r>
        <w:separator/>
      </w:r>
    </w:p>
  </w:footnote>
  <w:footnote w:type="continuationSeparator" w:id="0">
    <w:p w:rsidR="00DA4026" w:rsidRDefault="00DA4026" w:rsidP="00E4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7_"/>
      </v:shape>
    </w:pict>
  </w:numPicBullet>
  <w:abstractNum w:abstractNumId="0">
    <w:nsid w:val="00572695"/>
    <w:multiLevelType w:val="hybridMultilevel"/>
    <w:tmpl w:val="D994C3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8756B2"/>
    <w:multiLevelType w:val="hybridMultilevel"/>
    <w:tmpl w:val="E7B46012"/>
    <w:lvl w:ilvl="0" w:tplc="94285B9E">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64F2C54"/>
    <w:multiLevelType w:val="hybridMultilevel"/>
    <w:tmpl w:val="C1EC0526"/>
    <w:lvl w:ilvl="0" w:tplc="DF6EFE84">
      <w:numFmt w:val="bullet"/>
      <w:lvlText w:val="-"/>
      <w:lvlJc w:val="left"/>
      <w:pPr>
        <w:tabs>
          <w:tab w:val="num" w:pos="720"/>
        </w:tabs>
        <w:ind w:left="720" w:hanging="360"/>
      </w:pPr>
      <w:rPr>
        <w:rFonts w:ascii="Century Gothic" w:eastAsia="Times New Roman" w:hAnsi="Century Gothic" w:cs="CenturyGoth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9721D44"/>
    <w:multiLevelType w:val="hybridMultilevel"/>
    <w:tmpl w:val="FE886F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9E7417"/>
    <w:multiLevelType w:val="hybridMultilevel"/>
    <w:tmpl w:val="70DADB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3E60836"/>
    <w:multiLevelType w:val="hybridMultilevel"/>
    <w:tmpl w:val="546C1B6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14E411B4"/>
    <w:multiLevelType w:val="hybridMultilevel"/>
    <w:tmpl w:val="1992413E"/>
    <w:lvl w:ilvl="0" w:tplc="EE585712">
      <w:start w:val="1"/>
      <w:numFmt w:val="bullet"/>
      <w:lvlText w:val=""/>
      <w:lvlPicBulletId w:val="0"/>
      <w:lvlJc w:val="left"/>
      <w:pPr>
        <w:ind w:left="144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6B4101"/>
    <w:multiLevelType w:val="hybridMultilevel"/>
    <w:tmpl w:val="7F28C7B8"/>
    <w:lvl w:ilvl="0" w:tplc="62D2771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4144308"/>
    <w:multiLevelType w:val="hybridMultilevel"/>
    <w:tmpl w:val="B8D2DFBE"/>
    <w:lvl w:ilvl="0" w:tplc="064CD11A">
      <w:start w:val="5"/>
      <w:numFmt w:val="bullet"/>
      <w:lvlText w:val="-"/>
      <w:lvlJc w:val="left"/>
      <w:pPr>
        <w:tabs>
          <w:tab w:val="num" w:pos="1080"/>
        </w:tabs>
        <w:ind w:left="1080" w:hanging="360"/>
      </w:pPr>
      <w:rPr>
        <w:rFonts w:ascii="Arial" w:eastAsia="Times New Roman" w:hAnsi="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242C5B94"/>
    <w:multiLevelType w:val="hybridMultilevel"/>
    <w:tmpl w:val="2480CCF2"/>
    <w:lvl w:ilvl="0" w:tplc="D1DEEE64">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259906A6"/>
    <w:multiLevelType w:val="hybridMultilevel"/>
    <w:tmpl w:val="6BB0D884"/>
    <w:lvl w:ilvl="0" w:tplc="62D27716">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25B55392"/>
    <w:multiLevelType w:val="hybridMultilevel"/>
    <w:tmpl w:val="B1EC3B7E"/>
    <w:lvl w:ilvl="0" w:tplc="7B7E04D6">
      <w:start w:val="1"/>
      <w:numFmt w:val="bullet"/>
      <w:lvlText w:val=""/>
      <w:lvlJc w:val="left"/>
      <w:pPr>
        <w:tabs>
          <w:tab w:val="num" w:pos="644"/>
        </w:tabs>
        <w:ind w:left="644" w:hanging="284"/>
      </w:pPr>
      <w:rPr>
        <w:rFonts w:ascii="Wingdings" w:hAnsi="Wingdings" w:hint="default"/>
        <w:color w:val="80808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B6A2B86"/>
    <w:multiLevelType w:val="hybridMultilevel"/>
    <w:tmpl w:val="D5B2CE9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2C864F8C"/>
    <w:multiLevelType w:val="hybridMultilevel"/>
    <w:tmpl w:val="A6E6340E"/>
    <w:lvl w:ilvl="0" w:tplc="645A33B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B115F2"/>
    <w:multiLevelType w:val="hybridMultilevel"/>
    <w:tmpl w:val="2B14F7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D3D0BE8"/>
    <w:multiLevelType w:val="hybridMultilevel"/>
    <w:tmpl w:val="FA286CFE"/>
    <w:lvl w:ilvl="0" w:tplc="064CD11A">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DBB7973"/>
    <w:multiLevelType w:val="hybridMultilevel"/>
    <w:tmpl w:val="B18A825A"/>
    <w:lvl w:ilvl="0" w:tplc="8D6292CA">
      <w:start w:val="1"/>
      <w:numFmt w:val="decimal"/>
      <w:lvlText w:val="%1."/>
      <w:lvlJc w:val="left"/>
      <w:pPr>
        <w:ind w:left="678" w:hanging="360"/>
      </w:pPr>
      <w:rPr>
        <w:rFonts w:hint="default"/>
      </w:rPr>
    </w:lvl>
    <w:lvl w:ilvl="1" w:tplc="040C0019" w:tentative="1">
      <w:start w:val="1"/>
      <w:numFmt w:val="lowerLetter"/>
      <w:lvlText w:val="%2."/>
      <w:lvlJc w:val="left"/>
      <w:pPr>
        <w:ind w:left="1398" w:hanging="360"/>
      </w:pPr>
    </w:lvl>
    <w:lvl w:ilvl="2" w:tplc="040C001B" w:tentative="1">
      <w:start w:val="1"/>
      <w:numFmt w:val="lowerRoman"/>
      <w:lvlText w:val="%3."/>
      <w:lvlJc w:val="right"/>
      <w:pPr>
        <w:ind w:left="2118" w:hanging="180"/>
      </w:pPr>
    </w:lvl>
    <w:lvl w:ilvl="3" w:tplc="040C000F" w:tentative="1">
      <w:start w:val="1"/>
      <w:numFmt w:val="decimal"/>
      <w:lvlText w:val="%4."/>
      <w:lvlJc w:val="left"/>
      <w:pPr>
        <w:ind w:left="2838" w:hanging="360"/>
      </w:pPr>
    </w:lvl>
    <w:lvl w:ilvl="4" w:tplc="040C0019" w:tentative="1">
      <w:start w:val="1"/>
      <w:numFmt w:val="lowerLetter"/>
      <w:lvlText w:val="%5."/>
      <w:lvlJc w:val="left"/>
      <w:pPr>
        <w:ind w:left="3558" w:hanging="360"/>
      </w:pPr>
    </w:lvl>
    <w:lvl w:ilvl="5" w:tplc="040C001B" w:tentative="1">
      <w:start w:val="1"/>
      <w:numFmt w:val="lowerRoman"/>
      <w:lvlText w:val="%6."/>
      <w:lvlJc w:val="right"/>
      <w:pPr>
        <w:ind w:left="4278" w:hanging="180"/>
      </w:pPr>
    </w:lvl>
    <w:lvl w:ilvl="6" w:tplc="040C000F" w:tentative="1">
      <w:start w:val="1"/>
      <w:numFmt w:val="decimal"/>
      <w:lvlText w:val="%7."/>
      <w:lvlJc w:val="left"/>
      <w:pPr>
        <w:ind w:left="4998" w:hanging="360"/>
      </w:pPr>
    </w:lvl>
    <w:lvl w:ilvl="7" w:tplc="040C0019" w:tentative="1">
      <w:start w:val="1"/>
      <w:numFmt w:val="lowerLetter"/>
      <w:lvlText w:val="%8."/>
      <w:lvlJc w:val="left"/>
      <w:pPr>
        <w:ind w:left="5718" w:hanging="360"/>
      </w:pPr>
    </w:lvl>
    <w:lvl w:ilvl="8" w:tplc="040C001B" w:tentative="1">
      <w:start w:val="1"/>
      <w:numFmt w:val="lowerRoman"/>
      <w:lvlText w:val="%9."/>
      <w:lvlJc w:val="right"/>
      <w:pPr>
        <w:ind w:left="6438" w:hanging="180"/>
      </w:pPr>
    </w:lvl>
  </w:abstractNum>
  <w:abstractNum w:abstractNumId="17">
    <w:nsid w:val="3E0B680A"/>
    <w:multiLevelType w:val="hybridMultilevel"/>
    <w:tmpl w:val="4FEC92BE"/>
    <w:lvl w:ilvl="0" w:tplc="94285B9E">
      <w:numFmt w:val="bullet"/>
      <w:lvlText w:val="-"/>
      <w:lvlJc w:val="left"/>
      <w:pPr>
        <w:tabs>
          <w:tab w:val="num" w:pos="1008"/>
        </w:tabs>
        <w:ind w:left="1008" w:hanging="360"/>
      </w:pPr>
      <w:rPr>
        <w:rFonts w:ascii="Arial Narrow" w:eastAsia="Times New Roman" w:hAnsi="Arial Narrow" w:cs="Times New Roman" w:hint="default"/>
      </w:rPr>
    </w:lvl>
    <w:lvl w:ilvl="1" w:tplc="040C0003" w:tentative="1">
      <w:start w:val="1"/>
      <w:numFmt w:val="bullet"/>
      <w:lvlText w:val="o"/>
      <w:lvlJc w:val="left"/>
      <w:pPr>
        <w:tabs>
          <w:tab w:val="num" w:pos="1728"/>
        </w:tabs>
        <w:ind w:left="1728" w:hanging="360"/>
      </w:pPr>
      <w:rPr>
        <w:rFonts w:ascii="Courier New" w:hAnsi="Courier New" w:cs="Courier New" w:hint="default"/>
      </w:rPr>
    </w:lvl>
    <w:lvl w:ilvl="2" w:tplc="040C0005" w:tentative="1">
      <w:start w:val="1"/>
      <w:numFmt w:val="bullet"/>
      <w:lvlText w:val=""/>
      <w:lvlJc w:val="left"/>
      <w:pPr>
        <w:tabs>
          <w:tab w:val="num" w:pos="2448"/>
        </w:tabs>
        <w:ind w:left="2448" w:hanging="360"/>
      </w:pPr>
      <w:rPr>
        <w:rFonts w:ascii="Wingdings" w:hAnsi="Wingdings" w:hint="default"/>
      </w:rPr>
    </w:lvl>
    <w:lvl w:ilvl="3" w:tplc="040C0001" w:tentative="1">
      <w:start w:val="1"/>
      <w:numFmt w:val="bullet"/>
      <w:lvlText w:val=""/>
      <w:lvlJc w:val="left"/>
      <w:pPr>
        <w:tabs>
          <w:tab w:val="num" w:pos="3168"/>
        </w:tabs>
        <w:ind w:left="3168" w:hanging="360"/>
      </w:pPr>
      <w:rPr>
        <w:rFonts w:ascii="Symbol" w:hAnsi="Symbol" w:hint="default"/>
      </w:rPr>
    </w:lvl>
    <w:lvl w:ilvl="4" w:tplc="040C0003" w:tentative="1">
      <w:start w:val="1"/>
      <w:numFmt w:val="bullet"/>
      <w:lvlText w:val="o"/>
      <w:lvlJc w:val="left"/>
      <w:pPr>
        <w:tabs>
          <w:tab w:val="num" w:pos="3888"/>
        </w:tabs>
        <w:ind w:left="3888" w:hanging="360"/>
      </w:pPr>
      <w:rPr>
        <w:rFonts w:ascii="Courier New" w:hAnsi="Courier New" w:cs="Courier New" w:hint="default"/>
      </w:rPr>
    </w:lvl>
    <w:lvl w:ilvl="5" w:tplc="040C0005" w:tentative="1">
      <w:start w:val="1"/>
      <w:numFmt w:val="bullet"/>
      <w:lvlText w:val=""/>
      <w:lvlJc w:val="left"/>
      <w:pPr>
        <w:tabs>
          <w:tab w:val="num" w:pos="4608"/>
        </w:tabs>
        <w:ind w:left="4608" w:hanging="360"/>
      </w:pPr>
      <w:rPr>
        <w:rFonts w:ascii="Wingdings" w:hAnsi="Wingdings" w:hint="default"/>
      </w:rPr>
    </w:lvl>
    <w:lvl w:ilvl="6" w:tplc="040C0001" w:tentative="1">
      <w:start w:val="1"/>
      <w:numFmt w:val="bullet"/>
      <w:lvlText w:val=""/>
      <w:lvlJc w:val="left"/>
      <w:pPr>
        <w:tabs>
          <w:tab w:val="num" w:pos="5328"/>
        </w:tabs>
        <w:ind w:left="5328" w:hanging="360"/>
      </w:pPr>
      <w:rPr>
        <w:rFonts w:ascii="Symbol" w:hAnsi="Symbol" w:hint="default"/>
      </w:rPr>
    </w:lvl>
    <w:lvl w:ilvl="7" w:tplc="040C0003" w:tentative="1">
      <w:start w:val="1"/>
      <w:numFmt w:val="bullet"/>
      <w:lvlText w:val="o"/>
      <w:lvlJc w:val="left"/>
      <w:pPr>
        <w:tabs>
          <w:tab w:val="num" w:pos="6048"/>
        </w:tabs>
        <w:ind w:left="6048" w:hanging="360"/>
      </w:pPr>
      <w:rPr>
        <w:rFonts w:ascii="Courier New" w:hAnsi="Courier New" w:cs="Courier New" w:hint="default"/>
      </w:rPr>
    </w:lvl>
    <w:lvl w:ilvl="8" w:tplc="040C0005" w:tentative="1">
      <w:start w:val="1"/>
      <w:numFmt w:val="bullet"/>
      <w:lvlText w:val=""/>
      <w:lvlJc w:val="left"/>
      <w:pPr>
        <w:tabs>
          <w:tab w:val="num" w:pos="6768"/>
        </w:tabs>
        <w:ind w:left="6768" w:hanging="360"/>
      </w:pPr>
      <w:rPr>
        <w:rFonts w:ascii="Wingdings" w:hAnsi="Wingdings" w:hint="default"/>
      </w:rPr>
    </w:lvl>
  </w:abstractNum>
  <w:abstractNum w:abstractNumId="18">
    <w:nsid w:val="3F1F3EE1"/>
    <w:multiLevelType w:val="hybridMultilevel"/>
    <w:tmpl w:val="E9C23A4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44732534"/>
    <w:multiLevelType w:val="hybridMultilevel"/>
    <w:tmpl w:val="0DB424DC"/>
    <w:lvl w:ilvl="0" w:tplc="064CD11A">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6AA1C41"/>
    <w:multiLevelType w:val="hybridMultilevel"/>
    <w:tmpl w:val="ECCE35F4"/>
    <w:lvl w:ilvl="0" w:tplc="821E4CF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7BD72DE"/>
    <w:multiLevelType w:val="hybridMultilevel"/>
    <w:tmpl w:val="F712F088"/>
    <w:lvl w:ilvl="0" w:tplc="040C000D">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2">
    <w:nsid w:val="47CE7F10"/>
    <w:multiLevelType w:val="hybridMultilevel"/>
    <w:tmpl w:val="D4AC65C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nsid w:val="4CFD4C25"/>
    <w:multiLevelType w:val="hybridMultilevel"/>
    <w:tmpl w:val="C602BF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5B57F5"/>
    <w:multiLevelType w:val="hybridMultilevel"/>
    <w:tmpl w:val="54DE63BE"/>
    <w:lvl w:ilvl="0" w:tplc="8D6292CA">
      <w:start w:val="1"/>
      <w:numFmt w:val="decimal"/>
      <w:lvlText w:val="%1."/>
      <w:lvlJc w:val="left"/>
      <w:pPr>
        <w:ind w:left="360" w:hanging="360"/>
      </w:pPr>
      <w:rPr>
        <w:rFonts w:hint="default"/>
      </w:rPr>
    </w:lvl>
    <w:lvl w:ilvl="1" w:tplc="040C0019" w:tentative="1">
      <w:start w:val="1"/>
      <w:numFmt w:val="lowerLetter"/>
      <w:lvlText w:val="%2."/>
      <w:lvlJc w:val="left"/>
      <w:pPr>
        <w:ind w:left="1122" w:hanging="360"/>
      </w:pPr>
    </w:lvl>
    <w:lvl w:ilvl="2" w:tplc="040C001B" w:tentative="1">
      <w:start w:val="1"/>
      <w:numFmt w:val="lowerRoman"/>
      <w:lvlText w:val="%3."/>
      <w:lvlJc w:val="right"/>
      <w:pPr>
        <w:ind w:left="1842" w:hanging="180"/>
      </w:pPr>
    </w:lvl>
    <w:lvl w:ilvl="3" w:tplc="040C000F" w:tentative="1">
      <w:start w:val="1"/>
      <w:numFmt w:val="decimal"/>
      <w:lvlText w:val="%4."/>
      <w:lvlJc w:val="left"/>
      <w:pPr>
        <w:ind w:left="2562" w:hanging="360"/>
      </w:pPr>
    </w:lvl>
    <w:lvl w:ilvl="4" w:tplc="040C0019" w:tentative="1">
      <w:start w:val="1"/>
      <w:numFmt w:val="lowerLetter"/>
      <w:lvlText w:val="%5."/>
      <w:lvlJc w:val="left"/>
      <w:pPr>
        <w:ind w:left="3282" w:hanging="360"/>
      </w:pPr>
    </w:lvl>
    <w:lvl w:ilvl="5" w:tplc="040C001B" w:tentative="1">
      <w:start w:val="1"/>
      <w:numFmt w:val="lowerRoman"/>
      <w:lvlText w:val="%6."/>
      <w:lvlJc w:val="right"/>
      <w:pPr>
        <w:ind w:left="4002" w:hanging="180"/>
      </w:pPr>
    </w:lvl>
    <w:lvl w:ilvl="6" w:tplc="040C000F" w:tentative="1">
      <w:start w:val="1"/>
      <w:numFmt w:val="decimal"/>
      <w:lvlText w:val="%7."/>
      <w:lvlJc w:val="left"/>
      <w:pPr>
        <w:ind w:left="4722" w:hanging="360"/>
      </w:pPr>
    </w:lvl>
    <w:lvl w:ilvl="7" w:tplc="040C0019" w:tentative="1">
      <w:start w:val="1"/>
      <w:numFmt w:val="lowerLetter"/>
      <w:lvlText w:val="%8."/>
      <w:lvlJc w:val="left"/>
      <w:pPr>
        <w:ind w:left="5442" w:hanging="360"/>
      </w:pPr>
    </w:lvl>
    <w:lvl w:ilvl="8" w:tplc="040C001B" w:tentative="1">
      <w:start w:val="1"/>
      <w:numFmt w:val="lowerRoman"/>
      <w:lvlText w:val="%9."/>
      <w:lvlJc w:val="right"/>
      <w:pPr>
        <w:ind w:left="6162" w:hanging="180"/>
      </w:pPr>
    </w:lvl>
  </w:abstractNum>
  <w:abstractNum w:abstractNumId="25">
    <w:nsid w:val="59AA14B4"/>
    <w:multiLevelType w:val="hybridMultilevel"/>
    <w:tmpl w:val="BD68F57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59CD53E7"/>
    <w:multiLevelType w:val="hybridMultilevel"/>
    <w:tmpl w:val="01C0854C"/>
    <w:lvl w:ilvl="0" w:tplc="064CD11A">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A3D23BF"/>
    <w:multiLevelType w:val="hybridMultilevel"/>
    <w:tmpl w:val="24EE225C"/>
    <w:lvl w:ilvl="0" w:tplc="821E4CF6">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0A6F6E"/>
    <w:multiLevelType w:val="hybridMultilevel"/>
    <w:tmpl w:val="44C002F8"/>
    <w:lvl w:ilvl="0" w:tplc="064CD11A">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2BE6F25"/>
    <w:multiLevelType w:val="hybridMultilevel"/>
    <w:tmpl w:val="8BCEFFE0"/>
    <w:lvl w:ilvl="0" w:tplc="837CCD2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39067AD"/>
    <w:multiLevelType w:val="hybridMultilevel"/>
    <w:tmpl w:val="3BEACB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5B40244"/>
    <w:multiLevelType w:val="hybridMultilevel"/>
    <w:tmpl w:val="B204E41A"/>
    <w:lvl w:ilvl="0" w:tplc="5D90BAD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6B56D95"/>
    <w:multiLevelType w:val="hybridMultilevel"/>
    <w:tmpl w:val="6A0A931E"/>
    <w:lvl w:ilvl="0" w:tplc="892AA5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C94B5F"/>
    <w:multiLevelType w:val="hybridMultilevel"/>
    <w:tmpl w:val="3BCE9770"/>
    <w:lvl w:ilvl="0" w:tplc="F50A037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C61224B"/>
    <w:multiLevelType w:val="hybridMultilevel"/>
    <w:tmpl w:val="07BE5ABE"/>
    <w:lvl w:ilvl="0" w:tplc="A8A082F0">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DF21C1D"/>
    <w:multiLevelType w:val="hybridMultilevel"/>
    <w:tmpl w:val="981280BC"/>
    <w:lvl w:ilvl="0" w:tplc="821E4CF6">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6F560F67"/>
    <w:multiLevelType w:val="hybridMultilevel"/>
    <w:tmpl w:val="0630BE8A"/>
    <w:lvl w:ilvl="0" w:tplc="040C000F">
      <w:start w:val="1"/>
      <w:numFmt w:val="decimal"/>
      <w:lvlText w:val="%1."/>
      <w:lvlJc w:val="left"/>
      <w:pPr>
        <w:ind w:left="1038" w:hanging="360"/>
      </w:pPr>
    </w:lvl>
    <w:lvl w:ilvl="1" w:tplc="040C0019" w:tentative="1">
      <w:start w:val="1"/>
      <w:numFmt w:val="lowerLetter"/>
      <w:lvlText w:val="%2."/>
      <w:lvlJc w:val="left"/>
      <w:pPr>
        <w:ind w:left="1758" w:hanging="360"/>
      </w:pPr>
    </w:lvl>
    <w:lvl w:ilvl="2" w:tplc="040C001B" w:tentative="1">
      <w:start w:val="1"/>
      <w:numFmt w:val="lowerRoman"/>
      <w:lvlText w:val="%3."/>
      <w:lvlJc w:val="right"/>
      <w:pPr>
        <w:ind w:left="2478" w:hanging="180"/>
      </w:pPr>
    </w:lvl>
    <w:lvl w:ilvl="3" w:tplc="040C000F" w:tentative="1">
      <w:start w:val="1"/>
      <w:numFmt w:val="decimal"/>
      <w:lvlText w:val="%4."/>
      <w:lvlJc w:val="left"/>
      <w:pPr>
        <w:ind w:left="3198" w:hanging="360"/>
      </w:pPr>
    </w:lvl>
    <w:lvl w:ilvl="4" w:tplc="040C0019" w:tentative="1">
      <w:start w:val="1"/>
      <w:numFmt w:val="lowerLetter"/>
      <w:lvlText w:val="%5."/>
      <w:lvlJc w:val="left"/>
      <w:pPr>
        <w:ind w:left="3918" w:hanging="360"/>
      </w:pPr>
    </w:lvl>
    <w:lvl w:ilvl="5" w:tplc="040C001B" w:tentative="1">
      <w:start w:val="1"/>
      <w:numFmt w:val="lowerRoman"/>
      <w:lvlText w:val="%6."/>
      <w:lvlJc w:val="right"/>
      <w:pPr>
        <w:ind w:left="4638" w:hanging="180"/>
      </w:pPr>
    </w:lvl>
    <w:lvl w:ilvl="6" w:tplc="040C000F" w:tentative="1">
      <w:start w:val="1"/>
      <w:numFmt w:val="decimal"/>
      <w:lvlText w:val="%7."/>
      <w:lvlJc w:val="left"/>
      <w:pPr>
        <w:ind w:left="5358" w:hanging="360"/>
      </w:pPr>
    </w:lvl>
    <w:lvl w:ilvl="7" w:tplc="040C0019" w:tentative="1">
      <w:start w:val="1"/>
      <w:numFmt w:val="lowerLetter"/>
      <w:lvlText w:val="%8."/>
      <w:lvlJc w:val="left"/>
      <w:pPr>
        <w:ind w:left="6078" w:hanging="360"/>
      </w:pPr>
    </w:lvl>
    <w:lvl w:ilvl="8" w:tplc="040C001B" w:tentative="1">
      <w:start w:val="1"/>
      <w:numFmt w:val="lowerRoman"/>
      <w:lvlText w:val="%9."/>
      <w:lvlJc w:val="right"/>
      <w:pPr>
        <w:ind w:left="6798" w:hanging="180"/>
      </w:pPr>
    </w:lvl>
  </w:abstractNum>
  <w:abstractNum w:abstractNumId="37">
    <w:nsid w:val="76707A1F"/>
    <w:multiLevelType w:val="hybridMultilevel"/>
    <w:tmpl w:val="9C1EA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9F925D7"/>
    <w:multiLevelType w:val="hybridMultilevel"/>
    <w:tmpl w:val="E56E6F42"/>
    <w:lvl w:ilvl="0" w:tplc="8D6292CA">
      <w:start w:val="1"/>
      <w:numFmt w:val="decimal"/>
      <w:lvlText w:val="%1."/>
      <w:lvlJc w:val="left"/>
      <w:pPr>
        <w:ind w:left="67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B176B00"/>
    <w:multiLevelType w:val="hybridMultilevel"/>
    <w:tmpl w:val="4750502E"/>
    <w:lvl w:ilvl="0" w:tplc="064CD11A">
      <w:start w:val="5"/>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6"/>
  </w:num>
  <w:num w:numId="4">
    <w:abstractNumId w:val="19"/>
  </w:num>
  <w:num w:numId="5">
    <w:abstractNumId w:val="39"/>
  </w:num>
  <w:num w:numId="6">
    <w:abstractNumId w:val="13"/>
  </w:num>
  <w:num w:numId="7">
    <w:abstractNumId w:val="34"/>
  </w:num>
  <w:num w:numId="8">
    <w:abstractNumId w:val="4"/>
  </w:num>
  <w:num w:numId="9">
    <w:abstractNumId w:val="37"/>
  </w:num>
  <w:num w:numId="10">
    <w:abstractNumId w:val="12"/>
  </w:num>
  <w:num w:numId="11">
    <w:abstractNumId w:val="5"/>
  </w:num>
  <w:num w:numId="12">
    <w:abstractNumId w:val="31"/>
  </w:num>
  <w:num w:numId="13">
    <w:abstractNumId w:val="8"/>
  </w:num>
  <w:num w:numId="14">
    <w:abstractNumId w:val="15"/>
  </w:num>
  <w:num w:numId="15">
    <w:abstractNumId w:val="33"/>
  </w:num>
  <w:num w:numId="16">
    <w:abstractNumId w:val="20"/>
  </w:num>
  <w:num w:numId="17">
    <w:abstractNumId w:val="17"/>
  </w:num>
  <w:num w:numId="18">
    <w:abstractNumId w:val="11"/>
  </w:num>
  <w:num w:numId="19">
    <w:abstractNumId w:val="2"/>
  </w:num>
  <w:num w:numId="20">
    <w:abstractNumId w:val="29"/>
  </w:num>
  <w:num w:numId="21">
    <w:abstractNumId w:val="32"/>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8"/>
  </w:num>
  <w:num w:numId="25">
    <w:abstractNumId w:val="7"/>
  </w:num>
  <w:num w:numId="26">
    <w:abstractNumId w:val="22"/>
  </w:num>
  <w:num w:numId="27">
    <w:abstractNumId w:val="35"/>
  </w:num>
  <w:num w:numId="28">
    <w:abstractNumId w:val="27"/>
  </w:num>
  <w:num w:numId="29">
    <w:abstractNumId w:val="30"/>
  </w:num>
  <w:num w:numId="30">
    <w:abstractNumId w:val="10"/>
  </w:num>
  <w:num w:numId="31">
    <w:abstractNumId w:val="25"/>
  </w:num>
  <w:num w:numId="32">
    <w:abstractNumId w:val="18"/>
  </w:num>
  <w:num w:numId="33">
    <w:abstractNumId w:val="21"/>
  </w:num>
  <w:num w:numId="34">
    <w:abstractNumId w:val="23"/>
  </w:num>
  <w:num w:numId="35">
    <w:abstractNumId w:val="3"/>
  </w:num>
  <w:num w:numId="36">
    <w:abstractNumId w:val="36"/>
  </w:num>
  <w:num w:numId="37">
    <w:abstractNumId w:val="16"/>
  </w:num>
  <w:num w:numId="38">
    <w:abstractNumId w:val="38"/>
  </w:num>
  <w:num w:numId="39">
    <w:abstractNumId w:val="24"/>
  </w:num>
  <w:num w:numId="40">
    <w:abstractNumId w:val="0"/>
  </w:num>
  <w:num w:numId="4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IN, Alain">
    <w15:presenceInfo w15:providerId="AD" w15:userId="S-1-5-21-448539723-1644491937-682003330-540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19"/>
    <w:rsid w:val="000150E9"/>
    <w:rsid w:val="00020595"/>
    <w:rsid w:val="000349A4"/>
    <w:rsid w:val="00035883"/>
    <w:rsid w:val="0005744D"/>
    <w:rsid w:val="00061743"/>
    <w:rsid w:val="00073C7C"/>
    <w:rsid w:val="000867D3"/>
    <w:rsid w:val="00095838"/>
    <w:rsid w:val="000A036C"/>
    <w:rsid w:val="000A27AB"/>
    <w:rsid w:val="000A42C4"/>
    <w:rsid w:val="000A5E25"/>
    <w:rsid w:val="000C2ABD"/>
    <w:rsid w:val="000F78E6"/>
    <w:rsid w:val="001175D0"/>
    <w:rsid w:val="00133BEF"/>
    <w:rsid w:val="00135B02"/>
    <w:rsid w:val="00147DC3"/>
    <w:rsid w:val="00173578"/>
    <w:rsid w:val="0018648A"/>
    <w:rsid w:val="001B198A"/>
    <w:rsid w:val="001C20C5"/>
    <w:rsid w:val="001C6EF3"/>
    <w:rsid w:val="001D2B5E"/>
    <w:rsid w:val="002142A4"/>
    <w:rsid w:val="00244976"/>
    <w:rsid w:val="002512FC"/>
    <w:rsid w:val="002622ED"/>
    <w:rsid w:val="00274325"/>
    <w:rsid w:val="00277F5D"/>
    <w:rsid w:val="002A3924"/>
    <w:rsid w:val="002C16D4"/>
    <w:rsid w:val="002C49DF"/>
    <w:rsid w:val="002E318B"/>
    <w:rsid w:val="002F125A"/>
    <w:rsid w:val="002F177E"/>
    <w:rsid w:val="002F7F1B"/>
    <w:rsid w:val="003067AC"/>
    <w:rsid w:val="00317248"/>
    <w:rsid w:val="0032738A"/>
    <w:rsid w:val="003324EA"/>
    <w:rsid w:val="0036372E"/>
    <w:rsid w:val="003637AF"/>
    <w:rsid w:val="00393589"/>
    <w:rsid w:val="003A4E00"/>
    <w:rsid w:val="003B5421"/>
    <w:rsid w:val="00423EDC"/>
    <w:rsid w:val="00436F9F"/>
    <w:rsid w:val="00446694"/>
    <w:rsid w:val="004548DC"/>
    <w:rsid w:val="00454F72"/>
    <w:rsid w:val="004557DC"/>
    <w:rsid w:val="00464018"/>
    <w:rsid w:val="004712F3"/>
    <w:rsid w:val="004721E3"/>
    <w:rsid w:val="00473589"/>
    <w:rsid w:val="00487557"/>
    <w:rsid w:val="004B3F3A"/>
    <w:rsid w:val="004B66A6"/>
    <w:rsid w:val="004C3772"/>
    <w:rsid w:val="004C73CA"/>
    <w:rsid w:val="004D6665"/>
    <w:rsid w:val="004E29E3"/>
    <w:rsid w:val="0051359F"/>
    <w:rsid w:val="0057561E"/>
    <w:rsid w:val="005A2684"/>
    <w:rsid w:val="005A3664"/>
    <w:rsid w:val="005C089F"/>
    <w:rsid w:val="005C1DF4"/>
    <w:rsid w:val="005C52D2"/>
    <w:rsid w:val="00600575"/>
    <w:rsid w:val="006018E9"/>
    <w:rsid w:val="006120ED"/>
    <w:rsid w:val="006364DF"/>
    <w:rsid w:val="00650919"/>
    <w:rsid w:val="00662833"/>
    <w:rsid w:val="0067508D"/>
    <w:rsid w:val="006A038B"/>
    <w:rsid w:val="006A7D1F"/>
    <w:rsid w:val="006B4E97"/>
    <w:rsid w:val="006B61A8"/>
    <w:rsid w:val="006C1413"/>
    <w:rsid w:val="006C22A9"/>
    <w:rsid w:val="006D0A9B"/>
    <w:rsid w:val="0070320D"/>
    <w:rsid w:val="007109BB"/>
    <w:rsid w:val="00721999"/>
    <w:rsid w:val="00734C52"/>
    <w:rsid w:val="00744ADB"/>
    <w:rsid w:val="0077212B"/>
    <w:rsid w:val="00773DC9"/>
    <w:rsid w:val="00783873"/>
    <w:rsid w:val="007929C6"/>
    <w:rsid w:val="00795C43"/>
    <w:rsid w:val="007D173E"/>
    <w:rsid w:val="007D6EE7"/>
    <w:rsid w:val="007F41EC"/>
    <w:rsid w:val="0082257F"/>
    <w:rsid w:val="008230F0"/>
    <w:rsid w:val="0083420A"/>
    <w:rsid w:val="00842FCC"/>
    <w:rsid w:val="00865312"/>
    <w:rsid w:val="00872144"/>
    <w:rsid w:val="0087505B"/>
    <w:rsid w:val="008D1157"/>
    <w:rsid w:val="008D5BBA"/>
    <w:rsid w:val="0092398E"/>
    <w:rsid w:val="00936208"/>
    <w:rsid w:val="00944244"/>
    <w:rsid w:val="009500D6"/>
    <w:rsid w:val="00956651"/>
    <w:rsid w:val="00972D0A"/>
    <w:rsid w:val="00984FBB"/>
    <w:rsid w:val="00990660"/>
    <w:rsid w:val="009A26A3"/>
    <w:rsid w:val="009E037E"/>
    <w:rsid w:val="009E1EF0"/>
    <w:rsid w:val="009E1EF6"/>
    <w:rsid w:val="009F6407"/>
    <w:rsid w:val="00A01132"/>
    <w:rsid w:val="00A03107"/>
    <w:rsid w:val="00A0323E"/>
    <w:rsid w:val="00A04631"/>
    <w:rsid w:val="00A11B30"/>
    <w:rsid w:val="00A23BBA"/>
    <w:rsid w:val="00A330D7"/>
    <w:rsid w:val="00A47817"/>
    <w:rsid w:val="00A77A8D"/>
    <w:rsid w:val="00A90D64"/>
    <w:rsid w:val="00A9272C"/>
    <w:rsid w:val="00A977EA"/>
    <w:rsid w:val="00AC0CC6"/>
    <w:rsid w:val="00AE381A"/>
    <w:rsid w:val="00AF3109"/>
    <w:rsid w:val="00B02E42"/>
    <w:rsid w:val="00B0346D"/>
    <w:rsid w:val="00B64203"/>
    <w:rsid w:val="00B743B9"/>
    <w:rsid w:val="00B92C8E"/>
    <w:rsid w:val="00BC2B17"/>
    <w:rsid w:val="00BD2EC3"/>
    <w:rsid w:val="00BD5B9E"/>
    <w:rsid w:val="00BE43FC"/>
    <w:rsid w:val="00C213EB"/>
    <w:rsid w:val="00C35C60"/>
    <w:rsid w:val="00C41F0B"/>
    <w:rsid w:val="00C549F9"/>
    <w:rsid w:val="00C7376D"/>
    <w:rsid w:val="00C80ABA"/>
    <w:rsid w:val="00C83759"/>
    <w:rsid w:val="00C91D75"/>
    <w:rsid w:val="00C942DB"/>
    <w:rsid w:val="00CA6522"/>
    <w:rsid w:val="00CA7DA8"/>
    <w:rsid w:val="00CD01BA"/>
    <w:rsid w:val="00CE30CF"/>
    <w:rsid w:val="00D15C2B"/>
    <w:rsid w:val="00D20ABD"/>
    <w:rsid w:val="00D254D6"/>
    <w:rsid w:val="00D27297"/>
    <w:rsid w:val="00D35B6F"/>
    <w:rsid w:val="00D77100"/>
    <w:rsid w:val="00D921FE"/>
    <w:rsid w:val="00DA1A55"/>
    <w:rsid w:val="00DA1FA1"/>
    <w:rsid w:val="00DA2023"/>
    <w:rsid w:val="00DA4026"/>
    <w:rsid w:val="00DB0475"/>
    <w:rsid w:val="00DC1F69"/>
    <w:rsid w:val="00DD31E6"/>
    <w:rsid w:val="00DD7EC4"/>
    <w:rsid w:val="00DF27E5"/>
    <w:rsid w:val="00DF4266"/>
    <w:rsid w:val="00E150C4"/>
    <w:rsid w:val="00E4137B"/>
    <w:rsid w:val="00E4608C"/>
    <w:rsid w:val="00E53AB2"/>
    <w:rsid w:val="00E67C62"/>
    <w:rsid w:val="00E9260D"/>
    <w:rsid w:val="00EA33C7"/>
    <w:rsid w:val="00EC43F6"/>
    <w:rsid w:val="00ED269E"/>
    <w:rsid w:val="00F1280E"/>
    <w:rsid w:val="00F17186"/>
    <w:rsid w:val="00F21AFB"/>
    <w:rsid w:val="00F52473"/>
    <w:rsid w:val="00F60EF8"/>
    <w:rsid w:val="00F71EBD"/>
    <w:rsid w:val="00F73A7A"/>
    <w:rsid w:val="00F85237"/>
    <w:rsid w:val="00F953D5"/>
    <w:rsid w:val="00FC068D"/>
    <w:rsid w:val="00FE0ADD"/>
    <w:rsid w:val="00FE4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1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9"/>
    <w:pPr>
      <w:spacing w:after="0" w:line="240" w:lineRule="auto"/>
      <w:jc w:val="both"/>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0919"/>
    <w:pPr>
      <w:tabs>
        <w:tab w:val="center" w:pos="4536"/>
        <w:tab w:val="right" w:pos="9072"/>
      </w:tabs>
      <w:jc w:val="center"/>
    </w:pPr>
    <w:rPr>
      <w:rFonts w:ascii="Times New Roman" w:hAnsi="Times New Roman" w:cs="Times New Roman"/>
      <w:spacing w:val="2"/>
    </w:rPr>
  </w:style>
  <w:style w:type="character" w:customStyle="1" w:styleId="En-tteCar">
    <w:name w:val="En-tête Car"/>
    <w:basedOn w:val="Policepardfaut"/>
    <w:link w:val="En-tte"/>
    <w:uiPriority w:val="99"/>
    <w:rsid w:val="00650919"/>
    <w:rPr>
      <w:rFonts w:ascii="Times New Roman" w:eastAsia="Times New Roman" w:hAnsi="Times New Roman" w:cs="Times New Roman"/>
      <w:spacing w:val="2"/>
      <w:lang w:eastAsia="fr-FR"/>
    </w:rPr>
  </w:style>
  <w:style w:type="paragraph" w:styleId="Pieddepage">
    <w:name w:val="footer"/>
    <w:basedOn w:val="Normal"/>
    <w:link w:val="PieddepageCar"/>
    <w:uiPriority w:val="99"/>
    <w:unhideWhenUsed/>
    <w:rsid w:val="00E4608C"/>
    <w:pPr>
      <w:tabs>
        <w:tab w:val="center" w:pos="4536"/>
        <w:tab w:val="right" w:pos="9072"/>
      </w:tabs>
    </w:pPr>
  </w:style>
  <w:style w:type="character" w:customStyle="1" w:styleId="PieddepageCar">
    <w:name w:val="Pied de page Car"/>
    <w:basedOn w:val="Policepardfaut"/>
    <w:link w:val="Pieddepage"/>
    <w:uiPriority w:val="99"/>
    <w:rsid w:val="00E4608C"/>
    <w:rPr>
      <w:rFonts w:ascii="Arial" w:eastAsia="Times New Roman" w:hAnsi="Arial" w:cs="Arial"/>
      <w:lang w:eastAsia="fr-FR"/>
    </w:rPr>
  </w:style>
  <w:style w:type="paragraph" w:styleId="Textedebulles">
    <w:name w:val="Balloon Text"/>
    <w:basedOn w:val="Normal"/>
    <w:link w:val="TextedebullesCar"/>
    <w:uiPriority w:val="99"/>
    <w:semiHidden/>
    <w:unhideWhenUsed/>
    <w:rsid w:val="00E4608C"/>
    <w:rPr>
      <w:rFonts w:ascii="Tahoma" w:hAnsi="Tahoma" w:cs="Tahoma"/>
      <w:sz w:val="16"/>
      <w:szCs w:val="16"/>
    </w:rPr>
  </w:style>
  <w:style w:type="character" w:customStyle="1" w:styleId="TextedebullesCar">
    <w:name w:val="Texte de bulles Car"/>
    <w:basedOn w:val="Policepardfaut"/>
    <w:link w:val="Textedebulles"/>
    <w:uiPriority w:val="99"/>
    <w:semiHidden/>
    <w:rsid w:val="00E4608C"/>
    <w:rPr>
      <w:rFonts w:ascii="Tahoma" w:eastAsia="Times New Roman" w:hAnsi="Tahoma" w:cs="Tahoma"/>
      <w:sz w:val="16"/>
      <w:szCs w:val="16"/>
      <w:lang w:eastAsia="fr-FR"/>
    </w:rPr>
  </w:style>
  <w:style w:type="table" w:styleId="Grilledutableau">
    <w:name w:val="Table Grid"/>
    <w:basedOn w:val="TableauNormal"/>
    <w:rsid w:val="006B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068D"/>
    <w:pPr>
      <w:ind w:left="720"/>
      <w:contextualSpacing/>
    </w:pPr>
  </w:style>
  <w:style w:type="paragraph" w:styleId="Corpsdetexte">
    <w:name w:val="Body Text"/>
    <w:basedOn w:val="Normal"/>
    <w:link w:val="CorpsdetexteCar"/>
    <w:rsid w:val="00135B02"/>
    <w:pPr>
      <w:spacing w:after="120"/>
      <w:jc w:val="left"/>
    </w:pPr>
    <w:rPr>
      <w:rFonts w:cs="Times New Roman"/>
      <w:sz w:val="20"/>
      <w:szCs w:val="20"/>
    </w:rPr>
  </w:style>
  <w:style w:type="character" w:customStyle="1" w:styleId="CorpsdetexteCar">
    <w:name w:val="Corps de texte Car"/>
    <w:basedOn w:val="Policepardfaut"/>
    <w:link w:val="Corpsdetexte"/>
    <w:rsid w:val="00135B02"/>
    <w:rPr>
      <w:rFonts w:ascii="Arial" w:eastAsia="Times New Roman" w:hAnsi="Arial" w:cs="Times New Roman"/>
      <w:sz w:val="20"/>
      <w:szCs w:val="20"/>
      <w:lang w:eastAsia="fr-FR"/>
    </w:rPr>
  </w:style>
  <w:style w:type="character" w:styleId="Lienhypertexte">
    <w:name w:val="Hyperlink"/>
    <w:basedOn w:val="Policepardfaut"/>
    <w:uiPriority w:val="99"/>
    <w:unhideWhenUsed/>
    <w:rsid w:val="006C14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919"/>
    <w:pPr>
      <w:spacing w:after="0" w:line="240" w:lineRule="auto"/>
      <w:jc w:val="both"/>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50919"/>
    <w:pPr>
      <w:tabs>
        <w:tab w:val="center" w:pos="4536"/>
        <w:tab w:val="right" w:pos="9072"/>
      </w:tabs>
      <w:jc w:val="center"/>
    </w:pPr>
    <w:rPr>
      <w:rFonts w:ascii="Times New Roman" w:hAnsi="Times New Roman" w:cs="Times New Roman"/>
      <w:spacing w:val="2"/>
    </w:rPr>
  </w:style>
  <w:style w:type="character" w:customStyle="1" w:styleId="En-tteCar">
    <w:name w:val="En-tête Car"/>
    <w:basedOn w:val="Policepardfaut"/>
    <w:link w:val="En-tte"/>
    <w:uiPriority w:val="99"/>
    <w:rsid w:val="00650919"/>
    <w:rPr>
      <w:rFonts w:ascii="Times New Roman" w:eastAsia="Times New Roman" w:hAnsi="Times New Roman" w:cs="Times New Roman"/>
      <w:spacing w:val="2"/>
      <w:lang w:eastAsia="fr-FR"/>
    </w:rPr>
  </w:style>
  <w:style w:type="paragraph" w:styleId="Pieddepage">
    <w:name w:val="footer"/>
    <w:basedOn w:val="Normal"/>
    <w:link w:val="PieddepageCar"/>
    <w:uiPriority w:val="99"/>
    <w:unhideWhenUsed/>
    <w:rsid w:val="00E4608C"/>
    <w:pPr>
      <w:tabs>
        <w:tab w:val="center" w:pos="4536"/>
        <w:tab w:val="right" w:pos="9072"/>
      </w:tabs>
    </w:pPr>
  </w:style>
  <w:style w:type="character" w:customStyle="1" w:styleId="PieddepageCar">
    <w:name w:val="Pied de page Car"/>
    <w:basedOn w:val="Policepardfaut"/>
    <w:link w:val="Pieddepage"/>
    <w:uiPriority w:val="99"/>
    <w:rsid w:val="00E4608C"/>
    <w:rPr>
      <w:rFonts w:ascii="Arial" w:eastAsia="Times New Roman" w:hAnsi="Arial" w:cs="Arial"/>
      <w:lang w:eastAsia="fr-FR"/>
    </w:rPr>
  </w:style>
  <w:style w:type="paragraph" w:styleId="Textedebulles">
    <w:name w:val="Balloon Text"/>
    <w:basedOn w:val="Normal"/>
    <w:link w:val="TextedebullesCar"/>
    <w:uiPriority w:val="99"/>
    <w:semiHidden/>
    <w:unhideWhenUsed/>
    <w:rsid w:val="00E4608C"/>
    <w:rPr>
      <w:rFonts w:ascii="Tahoma" w:hAnsi="Tahoma" w:cs="Tahoma"/>
      <w:sz w:val="16"/>
      <w:szCs w:val="16"/>
    </w:rPr>
  </w:style>
  <w:style w:type="character" w:customStyle="1" w:styleId="TextedebullesCar">
    <w:name w:val="Texte de bulles Car"/>
    <w:basedOn w:val="Policepardfaut"/>
    <w:link w:val="Textedebulles"/>
    <w:uiPriority w:val="99"/>
    <w:semiHidden/>
    <w:rsid w:val="00E4608C"/>
    <w:rPr>
      <w:rFonts w:ascii="Tahoma" w:eastAsia="Times New Roman" w:hAnsi="Tahoma" w:cs="Tahoma"/>
      <w:sz w:val="16"/>
      <w:szCs w:val="16"/>
      <w:lang w:eastAsia="fr-FR"/>
    </w:rPr>
  </w:style>
  <w:style w:type="table" w:styleId="Grilledutableau">
    <w:name w:val="Table Grid"/>
    <w:basedOn w:val="TableauNormal"/>
    <w:rsid w:val="006B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C068D"/>
    <w:pPr>
      <w:ind w:left="720"/>
      <w:contextualSpacing/>
    </w:pPr>
  </w:style>
  <w:style w:type="paragraph" w:styleId="Corpsdetexte">
    <w:name w:val="Body Text"/>
    <w:basedOn w:val="Normal"/>
    <w:link w:val="CorpsdetexteCar"/>
    <w:rsid w:val="00135B02"/>
    <w:pPr>
      <w:spacing w:after="120"/>
      <w:jc w:val="left"/>
    </w:pPr>
    <w:rPr>
      <w:rFonts w:cs="Times New Roman"/>
      <w:sz w:val="20"/>
      <w:szCs w:val="20"/>
    </w:rPr>
  </w:style>
  <w:style w:type="character" w:customStyle="1" w:styleId="CorpsdetexteCar">
    <w:name w:val="Corps de texte Car"/>
    <w:basedOn w:val="Policepardfaut"/>
    <w:link w:val="Corpsdetexte"/>
    <w:rsid w:val="00135B02"/>
    <w:rPr>
      <w:rFonts w:ascii="Arial" w:eastAsia="Times New Roman" w:hAnsi="Arial" w:cs="Times New Roman"/>
      <w:sz w:val="20"/>
      <w:szCs w:val="20"/>
      <w:lang w:eastAsia="fr-FR"/>
    </w:rPr>
  </w:style>
  <w:style w:type="character" w:styleId="Lienhypertexte">
    <w:name w:val="Hyperlink"/>
    <w:basedOn w:val="Policepardfaut"/>
    <w:uiPriority w:val="99"/>
    <w:unhideWhenUsed/>
    <w:rsid w:val="006C14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6936">
      <w:bodyDiv w:val="1"/>
      <w:marLeft w:val="0"/>
      <w:marRight w:val="0"/>
      <w:marTop w:val="0"/>
      <w:marBottom w:val="0"/>
      <w:divBdr>
        <w:top w:val="none" w:sz="0" w:space="0" w:color="auto"/>
        <w:left w:val="none" w:sz="0" w:space="0" w:color="auto"/>
        <w:bottom w:val="none" w:sz="0" w:space="0" w:color="auto"/>
        <w:right w:val="none" w:sz="0" w:space="0" w:color="auto"/>
      </w:divBdr>
    </w:div>
    <w:div w:id="624625569">
      <w:bodyDiv w:val="1"/>
      <w:marLeft w:val="0"/>
      <w:marRight w:val="0"/>
      <w:marTop w:val="0"/>
      <w:marBottom w:val="0"/>
      <w:divBdr>
        <w:top w:val="none" w:sz="0" w:space="0" w:color="auto"/>
        <w:left w:val="none" w:sz="0" w:space="0" w:color="auto"/>
        <w:bottom w:val="none" w:sz="0" w:space="0" w:color="auto"/>
        <w:right w:val="none" w:sz="0" w:space="0" w:color="auto"/>
      </w:divBdr>
    </w:div>
    <w:div w:id="1201670947">
      <w:bodyDiv w:val="1"/>
      <w:marLeft w:val="0"/>
      <w:marRight w:val="0"/>
      <w:marTop w:val="0"/>
      <w:marBottom w:val="0"/>
      <w:divBdr>
        <w:top w:val="none" w:sz="0" w:space="0" w:color="auto"/>
        <w:left w:val="none" w:sz="0" w:space="0" w:color="auto"/>
        <w:bottom w:val="none" w:sz="0" w:space="0" w:color="auto"/>
        <w:right w:val="none" w:sz="0" w:space="0" w:color="auto"/>
      </w:divBdr>
    </w:div>
    <w:div w:id="1385638918">
      <w:bodyDiv w:val="1"/>
      <w:marLeft w:val="0"/>
      <w:marRight w:val="0"/>
      <w:marTop w:val="0"/>
      <w:marBottom w:val="0"/>
      <w:divBdr>
        <w:top w:val="none" w:sz="0" w:space="0" w:color="auto"/>
        <w:left w:val="none" w:sz="0" w:space="0" w:color="auto"/>
        <w:bottom w:val="none" w:sz="0" w:space="0" w:color="auto"/>
        <w:right w:val="none" w:sz="0" w:space="0" w:color="auto"/>
      </w:divBdr>
    </w:div>
    <w:div w:id="1574312849">
      <w:bodyDiv w:val="1"/>
      <w:marLeft w:val="0"/>
      <w:marRight w:val="0"/>
      <w:marTop w:val="0"/>
      <w:marBottom w:val="0"/>
      <w:divBdr>
        <w:top w:val="none" w:sz="0" w:space="0" w:color="auto"/>
        <w:left w:val="none" w:sz="0" w:space="0" w:color="auto"/>
        <w:bottom w:val="none" w:sz="0" w:space="0" w:color="auto"/>
        <w:right w:val="none" w:sz="0" w:space="0" w:color="auto"/>
      </w:divBdr>
    </w:div>
    <w:div w:id="20221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s://www.legifrance.gouv.fr/affichCodeArticle.do?cidTexte=LEGITEXT000006072665&amp;idArticle=LEGIARTI000006908864&amp;dateTexte=&amp;categorieLien=cid"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1A9EC-7AE7-4A17-A939-3FE61D37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6939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bilon</dc:creator>
  <cp:lastModifiedBy>olemaire</cp:lastModifiedBy>
  <cp:revision>2</cp:revision>
  <cp:lastPrinted>2017-05-16T08:17:00Z</cp:lastPrinted>
  <dcterms:created xsi:type="dcterms:W3CDTF">2019-09-09T09:17:00Z</dcterms:created>
  <dcterms:modified xsi:type="dcterms:W3CDTF">2019-09-09T09:17:00Z</dcterms:modified>
</cp:coreProperties>
</file>